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9DFC1A" w14:textId="77777777" w:rsidR="00E64ABF" w:rsidRDefault="00E64ABF" w:rsidP="00FC6787">
      <w:pPr>
        <w:pStyle w:val="a7"/>
        <w:spacing w:before="120"/>
        <w:jc w:val="center"/>
        <w:rPr>
          <w:rFonts w:ascii="Times New Roman" w:hAnsi="Times New Roman"/>
          <w:b/>
          <w:caps/>
          <w:sz w:val="24"/>
          <w:szCs w:val="24"/>
          <w:lang w:eastAsia="ar-SA"/>
        </w:rPr>
      </w:pPr>
      <w:r>
        <w:rPr>
          <w:rFonts w:ascii="Times New Roman" w:hAnsi="Times New Roman"/>
          <w:b/>
          <w:caps/>
          <w:sz w:val="24"/>
          <w:szCs w:val="24"/>
          <w:lang w:eastAsia="ar-SA"/>
        </w:rPr>
        <w:t>Комунальне некомерційне підприємство</w:t>
      </w:r>
    </w:p>
    <w:p w14:paraId="68DD2944" w14:textId="77777777" w:rsidR="00E64ABF" w:rsidRDefault="00E64ABF" w:rsidP="00FC6787">
      <w:pPr>
        <w:suppressAutoHyphens/>
        <w:spacing w:after="0" w:line="360" w:lineRule="auto"/>
        <w:jc w:val="center"/>
        <w:rPr>
          <w:rFonts w:ascii="Times New Roman" w:hAnsi="Times New Roman"/>
          <w:b/>
          <w:sz w:val="24"/>
          <w:szCs w:val="24"/>
          <w:lang w:eastAsia="ar-SA"/>
        </w:rPr>
      </w:pPr>
      <w:r>
        <w:rPr>
          <w:rFonts w:ascii="Times New Roman" w:hAnsi="Times New Roman"/>
          <w:b/>
          <w:caps/>
          <w:sz w:val="24"/>
          <w:szCs w:val="24"/>
          <w:lang w:eastAsia="ar-SA"/>
        </w:rPr>
        <w:t>«Міська поліклініка №8» Харківської міської ради</w:t>
      </w:r>
    </w:p>
    <w:p w14:paraId="25A61FDE" w14:textId="3E5CD151" w:rsidR="00F76876" w:rsidRPr="00EB64E4" w:rsidRDefault="00F76876" w:rsidP="00F76876">
      <w:pPr>
        <w:spacing w:before="280" w:after="0" w:line="240" w:lineRule="auto"/>
        <w:jc w:val="center"/>
        <w:rPr>
          <w:rFonts w:ascii="Times New Roman" w:eastAsia="Times New Roman" w:hAnsi="Times New Roman"/>
          <w:b/>
          <w:sz w:val="24"/>
          <w:szCs w:val="24"/>
        </w:rPr>
      </w:pPr>
      <w:r w:rsidRPr="00EB64E4">
        <w:rPr>
          <w:rFonts w:ascii="Times New Roman" w:eastAsia="Times New Roman" w:hAnsi="Times New Roman"/>
          <w:b/>
          <w:sz w:val="24"/>
          <w:szCs w:val="24"/>
        </w:rPr>
        <w:t xml:space="preserve">ОБҐРУНТУВАННЯ </w:t>
      </w:r>
    </w:p>
    <w:p w14:paraId="71215293" w14:textId="77777777" w:rsidR="00F76876" w:rsidRPr="00EB64E4" w:rsidRDefault="00F76876" w:rsidP="00F76876">
      <w:pPr>
        <w:spacing w:after="0" w:line="240" w:lineRule="auto"/>
        <w:jc w:val="center"/>
        <w:rPr>
          <w:rFonts w:ascii="Times New Roman" w:eastAsia="Times New Roman" w:hAnsi="Times New Roman"/>
          <w:b/>
          <w:sz w:val="24"/>
          <w:szCs w:val="24"/>
          <w:u w:val="single"/>
        </w:rPr>
      </w:pPr>
      <w:r w:rsidRPr="00EB64E4">
        <w:rPr>
          <w:rFonts w:ascii="Times New Roman" w:eastAsia="Times New Roman" w:hAnsi="Times New Roman"/>
          <w:sz w:val="24"/>
          <w:szCs w:val="24"/>
        </w:rPr>
        <w:t>технічних та якісних характеристик закупівлі</w:t>
      </w:r>
      <w:r w:rsidRPr="00EB64E4">
        <w:rPr>
          <w:rFonts w:ascii="Times New Roman" w:eastAsia="Times New Roman" w:hAnsi="Times New Roman"/>
          <w:b/>
          <w:sz w:val="24"/>
          <w:szCs w:val="24"/>
        </w:rPr>
        <w:t xml:space="preserve">, </w:t>
      </w:r>
      <w:r w:rsidRPr="00EB64E4">
        <w:rPr>
          <w:rFonts w:ascii="Times New Roman" w:eastAsia="Times New Roman" w:hAnsi="Times New Roman"/>
          <w:sz w:val="24"/>
          <w:szCs w:val="24"/>
        </w:rPr>
        <w:t>розміру бюджетного призначення, очікуваної вартості предмета закупівлі</w:t>
      </w:r>
    </w:p>
    <w:p w14:paraId="2669C3D2" w14:textId="77777777" w:rsidR="00F76876" w:rsidRPr="00EB64E4" w:rsidRDefault="00F76876" w:rsidP="00F76876">
      <w:pPr>
        <w:spacing w:after="0" w:line="240" w:lineRule="auto"/>
        <w:jc w:val="center"/>
        <w:rPr>
          <w:rFonts w:ascii="Times New Roman" w:eastAsia="Times New Roman" w:hAnsi="Times New Roman"/>
          <w:i/>
          <w:sz w:val="24"/>
          <w:szCs w:val="24"/>
        </w:rPr>
      </w:pPr>
      <w:r w:rsidRPr="00EB64E4">
        <w:rPr>
          <w:rFonts w:ascii="Times New Roman" w:eastAsia="Times New Roman" w:hAnsi="Times New Roman"/>
          <w:i/>
          <w:sz w:val="24"/>
          <w:szCs w:val="24"/>
        </w:rPr>
        <w:t>(оприлюднюється на виконання постанови КМУ № 710 від 11.10.2016 «Про ефективне використання державних коштів» (зі змінами))</w:t>
      </w:r>
    </w:p>
    <w:p w14:paraId="428A10DA" w14:textId="0FECA7A7" w:rsidR="00F76876" w:rsidRPr="00E64ABF" w:rsidRDefault="00F76876" w:rsidP="00F475D4">
      <w:pPr>
        <w:spacing w:after="0" w:line="240" w:lineRule="auto"/>
        <w:jc w:val="both"/>
        <w:rPr>
          <w:rFonts w:ascii="Times New Roman" w:hAnsi="Times New Roman"/>
          <w:i/>
          <w:sz w:val="24"/>
          <w:szCs w:val="24"/>
          <w:lang w:eastAsia="uk-UA"/>
        </w:rPr>
      </w:pPr>
      <w:r w:rsidRPr="00EB64E4">
        <w:rPr>
          <w:rFonts w:ascii="Times New Roman" w:hAnsi="Times New Roman"/>
          <w:color w:val="242424"/>
          <w:sz w:val="24"/>
          <w:szCs w:val="24"/>
          <w:lang w:eastAsia="uk-UA"/>
        </w:rPr>
        <w:br/>
      </w:r>
      <w:r w:rsidR="00E64ABF" w:rsidRPr="00E64ABF">
        <w:rPr>
          <w:rFonts w:ascii="Times New Roman" w:hAnsi="Times New Roman"/>
          <w:bCs/>
          <w:color w:val="242424"/>
          <w:sz w:val="24"/>
          <w:szCs w:val="24"/>
          <w:lang w:val="uk-UA" w:eastAsia="uk-UA"/>
        </w:rPr>
        <w:t xml:space="preserve">      </w:t>
      </w:r>
      <w:r w:rsidRPr="00E64ABF">
        <w:rPr>
          <w:rFonts w:ascii="Times New Roman" w:hAnsi="Times New Roman"/>
          <w:bCs/>
          <w:color w:val="242424"/>
          <w:sz w:val="24"/>
          <w:szCs w:val="24"/>
          <w:lang w:eastAsia="uk-UA"/>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sidRPr="00EB64E4">
        <w:rPr>
          <w:rFonts w:ascii="Times New Roman" w:hAnsi="Times New Roman"/>
          <w:b/>
          <w:bCs/>
          <w:color w:val="242424"/>
          <w:sz w:val="24"/>
          <w:szCs w:val="24"/>
          <w:lang w:eastAsia="uk-UA"/>
        </w:rPr>
        <w:t xml:space="preserve"> </w:t>
      </w:r>
      <w:r w:rsidRPr="00E64ABF">
        <w:rPr>
          <w:rFonts w:ascii="Times New Roman" w:hAnsi="Times New Roman"/>
          <w:i/>
          <w:sz w:val="24"/>
          <w:szCs w:val="24"/>
          <w:lang w:eastAsia="uk-UA"/>
        </w:rPr>
        <w:t>Комунальне  некомерційне підприємство  «Міська  поліклініка</w:t>
      </w:r>
      <w:r w:rsidR="00E64ABF" w:rsidRPr="00E64ABF">
        <w:rPr>
          <w:rFonts w:ascii="Times New Roman" w:hAnsi="Times New Roman"/>
          <w:i/>
          <w:sz w:val="24"/>
          <w:szCs w:val="24"/>
          <w:lang w:eastAsia="uk-UA"/>
        </w:rPr>
        <w:t xml:space="preserve">  № 8»  Харківської  міської  ради</w:t>
      </w:r>
      <w:r w:rsidR="00E64ABF" w:rsidRPr="00E64ABF">
        <w:rPr>
          <w:rFonts w:ascii="Times New Roman" w:hAnsi="Times New Roman"/>
          <w:i/>
          <w:sz w:val="24"/>
          <w:szCs w:val="24"/>
          <w:lang w:val="uk-UA" w:eastAsia="uk-UA"/>
        </w:rPr>
        <w:t>:</w:t>
      </w:r>
      <w:r w:rsidRPr="00E64ABF">
        <w:rPr>
          <w:rFonts w:ascii="Times New Roman" w:hAnsi="Times New Roman"/>
          <w:i/>
          <w:sz w:val="24"/>
          <w:szCs w:val="24"/>
          <w:lang w:eastAsia="uk-UA"/>
        </w:rPr>
        <w:t xml:space="preserve"> </w:t>
      </w:r>
      <w:r w:rsidRPr="00E64ABF">
        <w:rPr>
          <w:rFonts w:ascii="Times New Roman" w:hAnsi="Times New Roman"/>
          <w:i/>
          <w:sz w:val="24"/>
          <w:szCs w:val="24"/>
        </w:rPr>
        <w:t>611</w:t>
      </w:r>
      <w:r w:rsidR="00E64ABF" w:rsidRPr="00E64ABF">
        <w:rPr>
          <w:rFonts w:ascii="Times New Roman" w:hAnsi="Times New Roman"/>
          <w:i/>
          <w:sz w:val="24"/>
          <w:szCs w:val="24"/>
          <w:lang w:val="uk-UA"/>
        </w:rPr>
        <w:t>74</w:t>
      </w:r>
      <w:r w:rsidRPr="00E64ABF">
        <w:rPr>
          <w:rFonts w:ascii="Times New Roman" w:hAnsi="Times New Roman"/>
          <w:i/>
          <w:sz w:val="24"/>
          <w:szCs w:val="24"/>
        </w:rPr>
        <w:t xml:space="preserve">, Україна, Харківська область, м. Харків, проспект </w:t>
      </w:r>
      <w:r w:rsidR="00E64ABF" w:rsidRPr="00E64ABF">
        <w:rPr>
          <w:rFonts w:ascii="Times New Roman" w:hAnsi="Times New Roman"/>
          <w:i/>
          <w:sz w:val="24"/>
          <w:szCs w:val="24"/>
          <w:lang w:val="uk-UA"/>
        </w:rPr>
        <w:t>Перемоги, 53</w:t>
      </w:r>
      <w:r w:rsidRPr="00E64ABF">
        <w:rPr>
          <w:rFonts w:ascii="Times New Roman" w:hAnsi="Times New Roman"/>
          <w:i/>
          <w:sz w:val="24"/>
          <w:szCs w:val="24"/>
        </w:rPr>
        <w:t>;</w:t>
      </w:r>
      <w:r w:rsidRPr="00E64ABF">
        <w:rPr>
          <w:rFonts w:ascii="Times New Roman" w:hAnsi="Times New Roman"/>
          <w:i/>
          <w:sz w:val="24"/>
          <w:szCs w:val="24"/>
          <w:lang w:eastAsia="uk-UA"/>
        </w:rPr>
        <w:t xml:space="preserve"> ідентифікаційний код: 0329</w:t>
      </w:r>
      <w:r w:rsidR="00E64ABF" w:rsidRPr="00E64ABF">
        <w:rPr>
          <w:rFonts w:ascii="Times New Roman" w:hAnsi="Times New Roman"/>
          <w:i/>
          <w:sz w:val="24"/>
          <w:szCs w:val="24"/>
          <w:lang w:val="uk-UA" w:eastAsia="uk-UA"/>
        </w:rPr>
        <w:t>3913</w:t>
      </w:r>
      <w:r w:rsidRPr="00E64ABF">
        <w:rPr>
          <w:rFonts w:ascii="Times New Roman" w:hAnsi="Times New Roman"/>
          <w:i/>
          <w:sz w:val="24"/>
          <w:szCs w:val="24"/>
          <w:lang w:eastAsia="uk-UA"/>
        </w:rPr>
        <w:t>;</w:t>
      </w:r>
      <w:r w:rsidRPr="00E64ABF">
        <w:rPr>
          <w:rFonts w:ascii="Times New Roman" w:hAnsi="Times New Roman"/>
          <w:i/>
          <w:sz w:val="24"/>
          <w:szCs w:val="24"/>
        </w:rPr>
        <w:t xml:space="preserve"> юридична  особа, яка  забезпечує  потреби  держави  або  територіальної  громади</w:t>
      </w:r>
    </w:p>
    <w:p w14:paraId="582D3035" w14:textId="2F7A8FF9" w:rsidR="00104FCA" w:rsidRPr="00FC6787" w:rsidRDefault="00F76876" w:rsidP="00E64ABF">
      <w:pPr>
        <w:spacing w:after="0" w:line="240" w:lineRule="auto"/>
        <w:jc w:val="both"/>
        <w:rPr>
          <w:rFonts w:ascii="Times New Roman" w:hAnsi="Times New Roman" w:cs="Times New Roman"/>
          <w:b/>
          <w:bCs/>
          <w:sz w:val="24"/>
          <w:szCs w:val="24"/>
          <w:lang w:val="uk-UA" w:eastAsia="zh-CN"/>
        </w:rPr>
      </w:pPr>
      <w:r w:rsidRPr="00EB64E4">
        <w:rPr>
          <w:rFonts w:ascii="Times New Roman" w:hAnsi="Times New Roman"/>
          <w:b/>
          <w:bCs/>
          <w:color w:val="242424"/>
          <w:sz w:val="24"/>
          <w:szCs w:val="24"/>
          <w:lang w:eastAsia="uk-UA"/>
        </w:rPr>
        <w:t>Назва предмета закупівлі із зазначенням коду за Єдиним закупівельним словником:</w:t>
      </w:r>
      <w:r w:rsidR="00E64ABF">
        <w:rPr>
          <w:rFonts w:ascii="Times New Roman" w:hAnsi="Times New Roman"/>
          <w:b/>
          <w:bCs/>
          <w:color w:val="242424"/>
          <w:sz w:val="24"/>
          <w:szCs w:val="24"/>
          <w:lang w:val="uk-UA" w:eastAsia="uk-UA"/>
        </w:rPr>
        <w:t xml:space="preserve"> </w:t>
      </w:r>
      <w:r w:rsidR="001F32A7" w:rsidRPr="001F32A7">
        <w:rPr>
          <w:rFonts w:ascii="Times New Roman" w:hAnsi="Times New Roman"/>
          <w:b/>
          <w:bCs/>
          <w:color w:val="242424"/>
          <w:sz w:val="24"/>
          <w:szCs w:val="24"/>
          <w:lang w:val="uk-UA" w:eastAsia="uk-UA"/>
        </w:rPr>
        <w:t>Дезинфекційні засоби різні</w:t>
      </w:r>
      <w:r w:rsidR="00E64ABF">
        <w:rPr>
          <w:rFonts w:ascii="Times New Roman" w:hAnsi="Times New Roman"/>
          <w:b/>
          <w:bCs/>
          <w:color w:val="242424"/>
          <w:sz w:val="24"/>
          <w:szCs w:val="24"/>
          <w:lang w:val="uk-UA" w:eastAsia="uk-UA"/>
        </w:rPr>
        <w:t>,</w:t>
      </w:r>
      <w:r w:rsidRPr="004A42AD">
        <w:rPr>
          <w:rFonts w:ascii="Times New Roman" w:hAnsi="Times New Roman"/>
          <w:color w:val="242424"/>
          <w:sz w:val="24"/>
          <w:szCs w:val="24"/>
          <w:lang w:eastAsia="uk-UA"/>
        </w:rPr>
        <w:t> </w:t>
      </w:r>
      <w:r w:rsidR="0033390E" w:rsidRPr="0033390E">
        <w:rPr>
          <w:rFonts w:ascii="Times New Roman" w:hAnsi="Times New Roman" w:cs="Times New Roman"/>
          <w:b/>
          <w:bCs/>
          <w:sz w:val="24"/>
          <w:szCs w:val="24"/>
          <w:lang w:eastAsia="zh-CN"/>
        </w:rPr>
        <w:t xml:space="preserve">код </w:t>
      </w:r>
      <w:r w:rsidR="00E64ABF" w:rsidRPr="00E64ABF">
        <w:rPr>
          <w:rFonts w:ascii="Times New Roman" w:hAnsi="Times New Roman" w:cs="Times New Roman"/>
          <w:b/>
          <w:bCs/>
          <w:sz w:val="24"/>
          <w:szCs w:val="24"/>
          <w:lang w:eastAsia="zh-CN"/>
        </w:rPr>
        <w:t xml:space="preserve">ДК 021:2015 </w:t>
      </w:r>
      <w:r w:rsidR="001F32A7" w:rsidRPr="001F32A7">
        <w:rPr>
          <w:rFonts w:ascii="Times New Roman" w:hAnsi="Times New Roman" w:cs="Times New Roman"/>
          <w:b/>
          <w:bCs/>
          <w:sz w:val="24"/>
          <w:szCs w:val="24"/>
          <w:lang w:eastAsia="zh-CN"/>
        </w:rPr>
        <w:t xml:space="preserve">24455000-8 </w:t>
      </w:r>
      <w:r w:rsidR="001F32A7">
        <w:rPr>
          <w:rFonts w:ascii="Times New Roman" w:hAnsi="Times New Roman" w:cs="Times New Roman"/>
          <w:b/>
          <w:bCs/>
          <w:sz w:val="24"/>
          <w:szCs w:val="24"/>
          <w:lang w:val="uk-UA" w:eastAsia="zh-CN"/>
        </w:rPr>
        <w:t>«</w:t>
      </w:r>
      <w:r w:rsidR="001F32A7" w:rsidRPr="001F32A7">
        <w:rPr>
          <w:rFonts w:ascii="Times New Roman" w:hAnsi="Times New Roman" w:cs="Times New Roman"/>
          <w:b/>
          <w:bCs/>
          <w:sz w:val="24"/>
          <w:szCs w:val="24"/>
          <w:lang w:eastAsia="zh-CN"/>
        </w:rPr>
        <w:t>Дезинфекційні засоби</w:t>
      </w:r>
      <w:r w:rsidR="001F32A7">
        <w:rPr>
          <w:rFonts w:ascii="Times New Roman" w:hAnsi="Times New Roman" w:cs="Times New Roman"/>
          <w:b/>
          <w:bCs/>
          <w:sz w:val="24"/>
          <w:szCs w:val="24"/>
          <w:lang w:val="uk-UA" w:eastAsia="zh-CN"/>
        </w:rPr>
        <w:t>»</w:t>
      </w:r>
      <w:r w:rsidR="00FC6787">
        <w:rPr>
          <w:rFonts w:ascii="Times New Roman" w:hAnsi="Times New Roman" w:cs="Times New Roman"/>
          <w:b/>
          <w:bCs/>
          <w:sz w:val="24"/>
          <w:szCs w:val="24"/>
          <w:lang w:val="uk-UA" w:eastAsia="zh-CN"/>
        </w:rPr>
        <w:t>.</w:t>
      </w:r>
    </w:p>
    <w:p w14:paraId="34D4DB2E" w14:textId="77777777" w:rsidR="00E64ABF" w:rsidRPr="004A42AD" w:rsidRDefault="00E64ABF" w:rsidP="00E64ABF">
      <w:pPr>
        <w:spacing w:after="0" w:line="240" w:lineRule="auto"/>
        <w:jc w:val="both"/>
        <w:rPr>
          <w:rFonts w:ascii="Times New Roman" w:hAnsi="Times New Roman"/>
          <w:b/>
          <w:bCs/>
          <w:color w:val="242424"/>
          <w:sz w:val="24"/>
          <w:szCs w:val="24"/>
          <w:lang w:val="uk-UA" w:eastAsia="uk-UA"/>
        </w:rPr>
      </w:pPr>
    </w:p>
    <w:p w14:paraId="3E399C08" w14:textId="730588D8" w:rsidR="00FC6787" w:rsidRDefault="00F76876" w:rsidP="00F76876">
      <w:pPr>
        <w:spacing w:after="0" w:line="240" w:lineRule="auto"/>
        <w:jc w:val="both"/>
        <w:rPr>
          <w:rFonts w:ascii="Times New Roman" w:hAnsi="Times New Roman"/>
          <w:sz w:val="24"/>
          <w:szCs w:val="24"/>
          <w:lang w:val="uk-UA" w:eastAsia="uk-UA"/>
        </w:rPr>
      </w:pPr>
      <w:r w:rsidRPr="00E64ABF">
        <w:rPr>
          <w:rFonts w:ascii="Times New Roman" w:hAnsi="Times New Roman"/>
          <w:bCs/>
          <w:color w:val="242424"/>
          <w:sz w:val="24"/>
          <w:szCs w:val="24"/>
          <w:lang w:eastAsia="uk-UA"/>
        </w:rPr>
        <w:t>Вид та ідентифікатор процедури закупівлі:</w:t>
      </w:r>
      <w:r w:rsidRPr="00E64ABF">
        <w:rPr>
          <w:rFonts w:ascii="Times New Roman" w:hAnsi="Times New Roman"/>
          <w:color w:val="242424"/>
          <w:sz w:val="24"/>
          <w:szCs w:val="24"/>
          <w:lang w:eastAsia="uk-UA"/>
        </w:rPr>
        <w:t> </w:t>
      </w:r>
      <w:r w:rsidRPr="00E64ABF">
        <w:rPr>
          <w:rFonts w:ascii="Times New Roman" w:hAnsi="Times New Roman"/>
          <w:sz w:val="24"/>
          <w:szCs w:val="24"/>
          <w:lang w:eastAsia="uk-UA"/>
        </w:rPr>
        <w:t>відкриті торги з особливостями</w:t>
      </w:r>
      <w:r w:rsidR="00ED18F1" w:rsidRPr="00E64ABF">
        <w:rPr>
          <w:rFonts w:ascii="Times New Roman" w:hAnsi="Times New Roman"/>
          <w:sz w:val="24"/>
          <w:szCs w:val="24"/>
          <w:lang w:val="uk-UA" w:eastAsia="uk-UA"/>
        </w:rPr>
        <w:t>:</w:t>
      </w:r>
      <w:r w:rsidR="00E64ABF">
        <w:rPr>
          <w:rFonts w:ascii="Times New Roman" w:hAnsi="Times New Roman"/>
          <w:sz w:val="24"/>
          <w:szCs w:val="24"/>
          <w:lang w:val="uk-UA" w:eastAsia="uk-UA"/>
        </w:rPr>
        <w:t xml:space="preserve"> </w:t>
      </w:r>
      <w:r w:rsidR="00DE0E2C" w:rsidRPr="00DE0E2C">
        <w:rPr>
          <w:rFonts w:ascii="Times New Roman" w:hAnsi="Times New Roman"/>
          <w:sz w:val="24"/>
          <w:szCs w:val="24"/>
          <w:lang w:val="uk-UA" w:eastAsia="uk-UA"/>
        </w:rPr>
        <w:t>UA-2026-04-01-006340-a</w:t>
      </w:r>
      <w:r w:rsidR="00DE0E2C">
        <w:rPr>
          <w:rFonts w:ascii="Times New Roman" w:hAnsi="Times New Roman"/>
          <w:sz w:val="24"/>
          <w:szCs w:val="24"/>
          <w:lang w:val="uk-UA" w:eastAsia="uk-UA"/>
        </w:rPr>
        <w:t>.</w:t>
      </w:r>
    </w:p>
    <w:p w14:paraId="2ECA668F" w14:textId="77777777" w:rsidR="001F32A7" w:rsidRDefault="001F32A7" w:rsidP="00F76876">
      <w:pPr>
        <w:spacing w:after="0" w:line="240" w:lineRule="auto"/>
        <w:jc w:val="both"/>
        <w:rPr>
          <w:rFonts w:ascii="Times New Roman" w:hAnsi="Times New Roman" w:cs="Times New Roman"/>
          <w:b/>
          <w:sz w:val="24"/>
          <w:szCs w:val="24"/>
          <w:shd w:val="clear" w:color="auto" w:fill="F0F5F2"/>
          <w:lang w:val="uk-UA"/>
        </w:rPr>
      </w:pPr>
    </w:p>
    <w:p w14:paraId="4BA5A0C5" w14:textId="3EA688A4" w:rsidR="00F76876" w:rsidRDefault="00F76876" w:rsidP="00F76876">
      <w:pPr>
        <w:spacing w:after="0" w:line="240" w:lineRule="auto"/>
        <w:jc w:val="both"/>
        <w:rPr>
          <w:rFonts w:ascii="Times New Roman" w:hAnsi="Times New Roman"/>
          <w:sz w:val="24"/>
          <w:szCs w:val="24"/>
          <w:shd w:val="clear" w:color="auto" w:fill="FFFFFF"/>
          <w:lang w:val="uk-UA"/>
        </w:rPr>
      </w:pPr>
      <w:r w:rsidRPr="00EB64E4">
        <w:rPr>
          <w:rFonts w:ascii="Times New Roman" w:hAnsi="Times New Roman"/>
          <w:b/>
          <w:bCs/>
          <w:sz w:val="24"/>
          <w:szCs w:val="24"/>
          <w:shd w:val="clear" w:color="auto" w:fill="FFFFFF"/>
        </w:rPr>
        <w:t xml:space="preserve">Вид закупівлі:  </w:t>
      </w:r>
      <w:r w:rsidRPr="00E64ABF">
        <w:rPr>
          <w:rFonts w:ascii="Times New Roman" w:hAnsi="Times New Roman"/>
          <w:sz w:val="24"/>
          <w:szCs w:val="24"/>
          <w:shd w:val="clear" w:color="auto" w:fill="FFFFFF"/>
        </w:rPr>
        <w:t>процедура закупівлі</w:t>
      </w:r>
      <w:r w:rsidR="001243A0" w:rsidRPr="00E64ABF">
        <w:rPr>
          <w:rFonts w:ascii="Times New Roman" w:hAnsi="Times New Roman"/>
          <w:sz w:val="24"/>
          <w:szCs w:val="24"/>
          <w:shd w:val="clear" w:color="auto" w:fill="FFFFFF"/>
          <w:lang w:val="uk-UA"/>
        </w:rPr>
        <w:t xml:space="preserve"> </w:t>
      </w:r>
      <w:r w:rsidR="001243A0" w:rsidRPr="00E64ABF">
        <w:rPr>
          <w:rFonts w:ascii="Times New Roman" w:hAnsi="Times New Roman"/>
          <w:sz w:val="24"/>
          <w:szCs w:val="24"/>
          <w:lang w:eastAsia="uk-UA"/>
        </w:rPr>
        <w:t>відкриті торги з особливостями</w:t>
      </w:r>
      <w:r w:rsidRPr="00E64ABF">
        <w:rPr>
          <w:rFonts w:ascii="Times New Roman" w:hAnsi="Times New Roman"/>
          <w:sz w:val="24"/>
          <w:szCs w:val="24"/>
          <w:shd w:val="clear" w:color="auto" w:fill="FFFFFF"/>
        </w:rPr>
        <w:t xml:space="preserve"> - Замовники, у тому числі централізовані закупівельні організації, здійснюють закупівлі товарів і послуг (крім послуг з поточного ремонту, предмет закупівлі яких визначається відповідно до пункту 3 розділу II Порядку визначення предмета закупівлі, затвердженого наказом Мінекономіки від 15 квітня 2020 р. № 708 (далі - послуги з поточного ремонту), вартість яких становить або перевищує 100 тис. гривень, послуг з поточного ремонту, вартість яких становить або перевищує 200 тис. гривень, робіт, вартість яких становить або перевищує 1,5 млн гривень, шляхом застосування відкритих торгів у порядку, визначеному цими особливостями, та/або шляхом використання електронного каталогу для закупівлі товару відповідно до порядку, встановленого постановою Кабінету Міністрів України від 14 вересня 2020 р. № 822 “Про затвердження Порядку формування та використання електронного каталогу”, з урахуванням положень, визначених особливостями  - відкриті торги з особливостями</w:t>
      </w:r>
      <w:r w:rsidR="00E64ABF">
        <w:rPr>
          <w:rFonts w:ascii="Times New Roman" w:hAnsi="Times New Roman"/>
          <w:sz w:val="24"/>
          <w:szCs w:val="24"/>
          <w:shd w:val="clear" w:color="auto" w:fill="FFFFFF"/>
          <w:lang w:val="uk-UA"/>
        </w:rPr>
        <w:t>.</w:t>
      </w:r>
    </w:p>
    <w:p w14:paraId="15D4C35D" w14:textId="77777777" w:rsidR="00E64ABF" w:rsidRPr="00E64ABF" w:rsidRDefault="00E64ABF" w:rsidP="00F76876">
      <w:pPr>
        <w:spacing w:after="0" w:line="240" w:lineRule="auto"/>
        <w:jc w:val="both"/>
        <w:rPr>
          <w:rFonts w:ascii="Times New Roman" w:hAnsi="Times New Roman"/>
          <w:sz w:val="24"/>
          <w:szCs w:val="24"/>
          <w:shd w:val="clear" w:color="auto" w:fill="FFFFFF"/>
          <w:lang w:val="uk-UA"/>
        </w:rPr>
      </w:pPr>
    </w:p>
    <w:p w14:paraId="7B613B96" w14:textId="1928C6EA" w:rsidR="00DE0E2C" w:rsidRDefault="00F76876" w:rsidP="00DE0E2C">
      <w:pPr>
        <w:spacing w:after="0" w:line="240" w:lineRule="auto"/>
        <w:jc w:val="both"/>
        <w:rPr>
          <w:rFonts w:ascii="Times New Roman" w:hAnsi="Times New Roman"/>
          <w:color w:val="242424"/>
          <w:sz w:val="24"/>
          <w:szCs w:val="24"/>
          <w:lang w:val="uk-UA" w:eastAsia="uk-UA"/>
        </w:rPr>
      </w:pPr>
      <w:r w:rsidRPr="00EB64E4">
        <w:rPr>
          <w:rFonts w:ascii="Times New Roman" w:hAnsi="Times New Roman"/>
          <w:bCs/>
          <w:sz w:val="24"/>
          <w:szCs w:val="24"/>
          <w:lang w:eastAsia="uk-UA"/>
        </w:rPr>
        <w:t>Очікувана вартість та обґрунтування очікуваної вартості предмета закупівлі:</w:t>
      </w:r>
      <w:bookmarkStart w:id="0" w:name="_Hlk220075428"/>
      <w:r w:rsidR="00E64ABF">
        <w:rPr>
          <w:rFonts w:ascii="Times New Roman" w:hAnsi="Times New Roman"/>
          <w:color w:val="242424"/>
          <w:sz w:val="24"/>
          <w:szCs w:val="24"/>
          <w:lang w:eastAsia="uk-UA"/>
        </w:rPr>
        <w:t xml:space="preserve"> </w:t>
      </w:r>
      <w:bookmarkEnd w:id="0"/>
      <w:r w:rsidR="00DE0E2C" w:rsidRPr="00DE0E2C">
        <w:rPr>
          <w:rFonts w:ascii="Times New Roman" w:hAnsi="Times New Roman"/>
          <w:color w:val="242424"/>
          <w:sz w:val="24"/>
          <w:szCs w:val="24"/>
          <w:lang w:val="uk-UA" w:eastAsia="uk-UA"/>
        </w:rPr>
        <w:t>99</w:t>
      </w:r>
      <w:r w:rsidR="00DE0E2C">
        <w:rPr>
          <w:rFonts w:ascii="Times New Roman" w:hAnsi="Times New Roman"/>
          <w:color w:val="242424"/>
          <w:sz w:val="24"/>
          <w:szCs w:val="24"/>
          <w:lang w:val="uk-UA" w:eastAsia="uk-UA"/>
        </w:rPr>
        <w:t> </w:t>
      </w:r>
      <w:r w:rsidR="00DE0E2C" w:rsidRPr="00DE0E2C">
        <w:rPr>
          <w:rFonts w:ascii="Times New Roman" w:hAnsi="Times New Roman"/>
          <w:color w:val="242424"/>
          <w:sz w:val="24"/>
          <w:szCs w:val="24"/>
          <w:lang w:val="uk-UA" w:eastAsia="uk-UA"/>
        </w:rPr>
        <w:t>995</w:t>
      </w:r>
      <w:r w:rsidR="00DE0E2C">
        <w:rPr>
          <w:rFonts w:ascii="Times New Roman" w:hAnsi="Times New Roman"/>
          <w:color w:val="242424"/>
          <w:sz w:val="24"/>
          <w:szCs w:val="24"/>
          <w:lang w:val="uk-UA" w:eastAsia="uk-UA"/>
        </w:rPr>
        <w:t>,00</w:t>
      </w:r>
      <w:r w:rsidR="00DE0E2C" w:rsidRPr="00DE0E2C">
        <w:rPr>
          <w:rFonts w:ascii="Times New Roman" w:hAnsi="Times New Roman"/>
          <w:color w:val="242424"/>
          <w:sz w:val="24"/>
          <w:szCs w:val="24"/>
          <w:lang w:val="uk-UA" w:eastAsia="uk-UA"/>
        </w:rPr>
        <w:t xml:space="preserve"> грн з ПДВ</w:t>
      </w:r>
      <w:r w:rsidR="00DE0E2C">
        <w:rPr>
          <w:rFonts w:ascii="Times New Roman" w:hAnsi="Times New Roman"/>
          <w:color w:val="242424"/>
          <w:sz w:val="24"/>
          <w:szCs w:val="24"/>
          <w:lang w:val="uk-UA" w:eastAsia="uk-UA"/>
        </w:rPr>
        <w:t>.</w:t>
      </w:r>
    </w:p>
    <w:p w14:paraId="4C63BC60" w14:textId="77777777" w:rsidR="00DE0E2C" w:rsidRDefault="00DE0E2C" w:rsidP="00DE0E2C">
      <w:pPr>
        <w:spacing w:after="0" w:line="240" w:lineRule="auto"/>
        <w:jc w:val="both"/>
        <w:rPr>
          <w:rFonts w:ascii="Times New Roman" w:hAnsi="Times New Roman"/>
          <w:color w:val="242424"/>
          <w:sz w:val="24"/>
          <w:szCs w:val="24"/>
          <w:lang w:val="uk-UA" w:eastAsia="uk-UA"/>
        </w:rPr>
      </w:pPr>
    </w:p>
    <w:p w14:paraId="4E94D829" w14:textId="6F466A19" w:rsidR="00EB64E4" w:rsidRPr="00ED18F1" w:rsidRDefault="00F76876" w:rsidP="00DE0E2C">
      <w:pPr>
        <w:spacing w:after="0" w:line="240" w:lineRule="auto"/>
        <w:jc w:val="both"/>
        <w:rPr>
          <w:rFonts w:ascii="Times New Roman" w:hAnsi="Times New Roman"/>
          <w:b/>
          <w:sz w:val="24"/>
          <w:szCs w:val="24"/>
          <w:lang w:val="uk-UA"/>
        </w:rPr>
      </w:pPr>
      <w:r w:rsidRPr="00104FCA">
        <w:rPr>
          <w:rFonts w:ascii="Times New Roman" w:hAnsi="Times New Roman"/>
          <w:b/>
          <w:sz w:val="24"/>
          <w:szCs w:val="24"/>
          <w:lang w:val="uk-UA"/>
        </w:rPr>
        <w:t>Очікувана вартість предмета  закупівлі</w:t>
      </w:r>
      <w:r w:rsidRPr="00ED18F1">
        <w:rPr>
          <w:rFonts w:ascii="Times New Roman" w:hAnsi="Times New Roman"/>
          <w:b/>
          <w:sz w:val="24"/>
          <w:szCs w:val="24"/>
          <w:lang w:val="uk-UA"/>
        </w:rPr>
        <w:t>:</w:t>
      </w:r>
    </w:p>
    <w:p w14:paraId="3F35851F" w14:textId="1CA7232A" w:rsidR="00FA5338" w:rsidRDefault="00F76876" w:rsidP="00FA5338">
      <w:pPr>
        <w:spacing w:after="0" w:line="240" w:lineRule="auto"/>
        <w:jc w:val="both"/>
        <w:rPr>
          <w:rFonts w:ascii="Times New Roman" w:eastAsia="Times New Roman" w:hAnsi="Times New Roman" w:cs="Times New Roman"/>
          <w:sz w:val="24"/>
          <w:szCs w:val="24"/>
          <w:lang w:val="uk-UA"/>
        </w:rPr>
      </w:pPr>
      <w:r w:rsidRPr="00EB64E4">
        <w:rPr>
          <w:rFonts w:ascii="Times New Roman" w:eastAsia="Times New Roman" w:hAnsi="Times New Roman" w:cs="Times New Roman"/>
          <w:sz w:val="24"/>
          <w:szCs w:val="24"/>
          <w:lang w:val="uk-UA"/>
        </w:rPr>
        <w:t xml:space="preserve">Під час визначення очікуваної вартості предмета закупівлі враховувалась примірна методика визначення очікуваної вартості предмета закупівлі, що затверджена наказом Міністерства розвитку економіки, торгівлі та сільського господарства України від 18.02.2020  № 275. </w:t>
      </w:r>
      <w:r w:rsidR="00FA5338" w:rsidRPr="00FA5338">
        <w:rPr>
          <w:rFonts w:ascii="Times New Roman" w:eastAsia="Times New Roman" w:hAnsi="Times New Roman" w:cs="Times New Roman"/>
          <w:sz w:val="24"/>
          <w:szCs w:val="24"/>
          <w:lang w:val="uk-UA"/>
        </w:rPr>
        <w:t>Очікувана вартість закупівлі формувалась із середніх цін комерційних пропозицій, наданих суб’єктами господарювання.</w:t>
      </w:r>
    </w:p>
    <w:p w14:paraId="52FCD4C1" w14:textId="77777777" w:rsidR="00E64ABF" w:rsidRPr="00FA5338" w:rsidRDefault="00E64ABF" w:rsidP="00FA5338">
      <w:pPr>
        <w:spacing w:after="0" w:line="240" w:lineRule="auto"/>
        <w:jc w:val="both"/>
        <w:rPr>
          <w:rFonts w:ascii="Times New Roman" w:eastAsia="Times New Roman" w:hAnsi="Times New Roman" w:cs="Times New Roman"/>
          <w:sz w:val="24"/>
          <w:szCs w:val="24"/>
          <w:lang w:val="uk-UA"/>
        </w:rPr>
      </w:pPr>
    </w:p>
    <w:p w14:paraId="0340C324" w14:textId="2AD498B8" w:rsidR="00104FCA" w:rsidRPr="00104FCA" w:rsidRDefault="00F76876" w:rsidP="00104FCA">
      <w:pPr>
        <w:spacing w:after="0" w:line="240" w:lineRule="auto"/>
        <w:jc w:val="both"/>
        <w:rPr>
          <w:rFonts w:ascii="Times New Roman" w:hAnsi="Times New Roman" w:cs="Times New Roman"/>
          <w:color w:val="000000"/>
          <w:sz w:val="24"/>
          <w:szCs w:val="24"/>
          <w:u w:val="single"/>
          <w:shd w:val="clear" w:color="auto" w:fill="FAFAFA"/>
          <w:lang w:val="uk-UA"/>
        </w:rPr>
      </w:pPr>
      <w:r w:rsidRPr="00EB64E4">
        <w:rPr>
          <w:rFonts w:ascii="Times New Roman" w:hAnsi="Times New Roman"/>
          <w:b/>
          <w:bCs/>
          <w:color w:val="242424"/>
          <w:sz w:val="24"/>
          <w:szCs w:val="24"/>
          <w:lang w:val="uk-UA" w:eastAsia="uk-UA"/>
        </w:rPr>
        <w:t>Розмір бюджетного призначення:</w:t>
      </w:r>
      <w:r w:rsidRPr="00EB64E4">
        <w:rPr>
          <w:rFonts w:ascii="Times New Roman" w:hAnsi="Times New Roman"/>
          <w:color w:val="242424"/>
          <w:sz w:val="24"/>
          <w:szCs w:val="24"/>
          <w:lang w:eastAsia="uk-UA"/>
        </w:rPr>
        <w:t> </w:t>
      </w:r>
      <w:r w:rsidRPr="00EB64E4">
        <w:rPr>
          <w:rFonts w:ascii="Times New Roman" w:hAnsi="Times New Roman"/>
          <w:sz w:val="24"/>
          <w:szCs w:val="24"/>
          <w:lang w:val="uk-UA"/>
        </w:rPr>
        <w:t>Власний бюджет (кошти від господарської діяльності підприємства)</w:t>
      </w:r>
      <w:r w:rsidR="00E64ABF">
        <w:rPr>
          <w:rFonts w:ascii="Times New Roman" w:hAnsi="Times New Roman"/>
          <w:sz w:val="24"/>
          <w:szCs w:val="24"/>
          <w:lang w:val="uk-UA"/>
        </w:rPr>
        <w:t xml:space="preserve"> та кошти</w:t>
      </w:r>
      <w:r w:rsidRPr="00EB64E4">
        <w:rPr>
          <w:rFonts w:ascii="Times New Roman" w:hAnsi="Times New Roman"/>
          <w:sz w:val="24"/>
          <w:szCs w:val="24"/>
          <w:lang w:val="uk-UA"/>
        </w:rPr>
        <w:t>, отриманих від Національ</w:t>
      </w:r>
      <w:r w:rsidR="00E64ABF">
        <w:rPr>
          <w:rFonts w:ascii="Times New Roman" w:hAnsi="Times New Roman"/>
          <w:sz w:val="24"/>
          <w:szCs w:val="24"/>
          <w:lang w:val="uk-UA"/>
        </w:rPr>
        <w:t>ної служби здоров'я України (НСЗУ)</w:t>
      </w:r>
    </w:p>
    <w:p w14:paraId="7141B5F3" w14:textId="77777777" w:rsidR="00E64ABF" w:rsidRDefault="00E64ABF" w:rsidP="004A42AD">
      <w:pPr>
        <w:spacing w:after="0"/>
        <w:jc w:val="both"/>
        <w:rPr>
          <w:rFonts w:ascii="Times New Roman" w:hAnsi="Times New Roman"/>
          <w:b/>
          <w:bCs/>
          <w:sz w:val="24"/>
          <w:szCs w:val="24"/>
          <w:lang w:val="uk-UA" w:eastAsia="uk-UA"/>
        </w:rPr>
      </w:pPr>
    </w:p>
    <w:p w14:paraId="1D6240D7" w14:textId="77777777" w:rsidR="00E64ABF" w:rsidRDefault="00F76876" w:rsidP="004A42AD">
      <w:pPr>
        <w:spacing w:after="0"/>
        <w:jc w:val="both"/>
        <w:rPr>
          <w:rFonts w:ascii="Times New Roman" w:hAnsi="Times New Roman"/>
          <w:b/>
          <w:bCs/>
          <w:sz w:val="24"/>
          <w:szCs w:val="24"/>
          <w:lang w:eastAsia="uk-UA"/>
        </w:rPr>
      </w:pPr>
      <w:r w:rsidRPr="000E6B29">
        <w:rPr>
          <w:rFonts w:ascii="Times New Roman" w:hAnsi="Times New Roman"/>
          <w:b/>
          <w:bCs/>
          <w:sz w:val="24"/>
          <w:szCs w:val="24"/>
          <w:lang w:val="uk-UA" w:eastAsia="uk-UA"/>
        </w:rPr>
        <w:t>Обґрунтування якісних та технічних характеристик</w:t>
      </w:r>
      <w:r w:rsidRPr="00E64ABF">
        <w:rPr>
          <w:rFonts w:ascii="Times New Roman" w:hAnsi="Times New Roman"/>
          <w:b/>
          <w:bCs/>
          <w:sz w:val="24"/>
          <w:szCs w:val="24"/>
          <w:lang w:val="uk-UA" w:eastAsia="uk-UA"/>
        </w:rPr>
        <w:t>.</w:t>
      </w:r>
      <w:r w:rsidRPr="00E64ABF">
        <w:rPr>
          <w:rFonts w:ascii="Times New Roman" w:hAnsi="Times New Roman"/>
          <w:b/>
          <w:bCs/>
          <w:sz w:val="24"/>
          <w:szCs w:val="24"/>
          <w:lang w:eastAsia="uk-UA"/>
        </w:rPr>
        <w:t> </w:t>
      </w:r>
    </w:p>
    <w:p w14:paraId="7D2B9434" w14:textId="2D9C8716" w:rsidR="00F76876" w:rsidRPr="00E64ABF" w:rsidRDefault="00F76876" w:rsidP="004A42AD">
      <w:pPr>
        <w:spacing w:after="0"/>
        <w:jc w:val="both"/>
        <w:rPr>
          <w:rFonts w:ascii="Times New Roman" w:hAnsi="Times New Roman"/>
          <w:sz w:val="24"/>
          <w:szCs w:val="24"/>
          <w:lang w:eastAsia="uk-UA"/>
        </w:rPr>
      </w:pPr>
      <w:r w:rsidRPr="00E64ABF">
        <w:rPr>
          <w:rFonts w:ascii="Times New Roman" w:hAnsi="Times New Roman"/>
          <w:bCs/>
          <w:sz w:val="24"/>
          <w:szCs w:val="24"/>
          <w:lang w:eastAsia="uk-UA"/>
        </w:rPr>
        <w:t xml:space="preserve">Строк </w:t>
      </w:r>
      <w:r w:rsidRPr="00E64ABF">
        <w:rPr>
          <w:rFonts w:ascii="Times New Roman" w:hAnsi="Times New Roman"/>
          <w:bCs/>
          <w:sz w:val="24"/>
          <w:szCs w:val="24"/>
          <w:lang w:val="uk-UA" w:eastAsia="uk-UA"/>
        </w:rPr>
        <w:t xml:space="preserve">поставки </w:t>
      </w:r>
      <w:r w:rsidR="00E24E3E" w:rsidRPr="00E64ABF">
        <w:rPr>
          <w:rFonts w:ascii="Times New Roman" w:hAnsi="Times New Roman"/>
          <w:bCs/>
          <w:sz w:val="24"/>
          <w:szCs w:val="24"/>
          <w:lang w:val="uk-UA" w:eastAsia="uk-UA"/>
        </w:rPr>
        <w:t>товару</w:t>
      </w:r>
      <w:r w:rsidR="00E24E3E" w:rsidRPr="00E64ABF">
        <w:rPr>
          <w:rFonts w:ascii="Times New Roman" w:hAnsi="Times New Roman"/>
          <w:bCs/>
          <w:sz w:val="24"/>
          <w:szCs w:val="24"/>
          <w:lang w:eastAsia="uk-UA"/>
        </w:rPr>
        <w:t>:</w:t>
      </w:r>
      <w:r w:rsidR="00E24E3E" w:rsidRPr="00E64ABF">
        <w:rPr>
          <w:rFonts w:ascii="Times New Roman" w:hAnsi="Times New Roman"/>
          <w:sz w:val="24"/>
          <w:szCs w:val="24"/>
          <w:lang w:eastAsia="uk-UA"/>
        </w:rPr>
        <w:t xml:space="preserve"> до</w:t>
      </w:r>
      <w:r w:rsidR="00EB64E4" w:rsidRPr="00E64ABF">
        <w:rPr>
          <w:rFonts w:ascii="Times New Roman" w:hAnsi="Times New Roman"/>
          <w:sz w:val="24"/>
          <w:szCs w:val="24"/>
        </w:rPr>
        <w:t xml:space="preserve"> </w:t>
      </w:r>
      <w:r w:rsidR="00F475D4" w:rsidRPr="00E64ABF">
        <w:rPr>
          <w:rFonts w:ascii="Times New Roman" w:hAnsi="Times New Roman"/>
          <w:sz w:val="24"/>
          <w:szCs w:val="24"/>
          <w:lang w:val="uk-UA"/>
        </w:rPr>
        <w:t>31</w:t>
      </w:r>
      <w:r w:rsidR="00EB64E4" w:rsidRPr="00E64ABF">
        <w:rPr>
          <w:rFonts w:ascii="Times New Roman" w:hAnsi="Times New Roman"/>
          <w:sz w:val="24"/>
          <w:szCs w:val="24"/>
          <w:lang w:val="uk-UA"/>
        </w:rPr>
        <w:t xml:space="preserve"> </w:t>
      </w:r>
      <w:r w:rsidR="00E24E3E" w:rsidRPr="00E64ABF">
        <w:rPr>
          <w:rFonts w:ascii="Times New Roman" w:hAnsi="Times New Roman"/>
          <w:sz w:val="24"/>
          <w:szCs w:val="24"/>
          <w:lang w:val="uk-UA"/>
        </w:rPr>
        <w:t xml:space="preserve">січня </w:t>
      </w:r>
      <w:r w:rsidR="00E24E3E" w:rsidRPr="00E64ABF">
        <w:rPr>
          <w:rFonts w:ascii="Times New Roman" w:hAnsi="Times New Roman"/>
          <w:sz w:val="24"/>
          <w:szCs w:val="24"/>
        </w:rPr>
        <w:t>2026</w:t>
      </w:r>
      <w:r w:rsidRPr="00E64ABF">
        <w:rPr>
          <w:rFonts w:ascii="Times New Roman" w:hAnsi="Times New Roman"/>
          <w:sz w:val="24"/>
          <w:szCs w:val="24"/>
        </w:rPr>
        <w:t xml:space="preserve"> року включно</w:t>
      </w:r>
      <w:r w:rsidRPr="00E64ABF">
        <w:rPr>
          <w:rFonts w:ascii="Times New Roman" w:hAnsi="Times New Roman"/>
          <w:sz w:val="24"/>
          <w:szCs w:val="24"/>
          <w:lang w:eastAsia="uk-UA"/>
        </w:rPr>
        <w:t>.</w:t>
      </w:r>
    </w:p>
    <w:p w14:paraId="0BE18009" w14:textId="41F0D9F3" w:rsidR="00F76876" w:rsidRDefault="00F76876" w:rsidP="004A42AD">
      <w:pPr>
        <w:suppressAutoHyphens/>
        <w:spacing w:after="0"/>
        <w:jc w:val="both"/>
        <w:rPr>
          <w:rFonts w:ascii="Times New Roman" w:hAnsi="Times New Roman"/>
          <w:b/>
          <w:sz w:val="24"/>
          <w:szCs w:val="24"/>
        </w:rPr>
      </w:pPr>
      <w:r w:rsidRPr="00EB64E4">
        <w:rPr>
          <w:rFonts w:ascii="Times New Roman" w:hAnsi="Times New Roman"/>
          <w:bCs/>
          <w:sz w:val="24"/>
          <w:szCs w:val="24"/>
          <w:lang w:eastAsia="ar-SA"/>
        </w:rPr>
        <w:t>Більш детальна інформація та вимоги до предмета закупівлі викладені в Додатку 2 до тендерної документації.</w:t>
      </w:r>
      <w:r w:rsidRPr="00EB64E4">
        <w:rPr>
          <w:rFonts w:ascii="Times New Roman" w:hAnsi="Times New Roman"/>
          <w:b/>
          <w:sz w:val="24"/>
          <w:szCs w:val="24"/>
        </w:rPr>
        <w:t xml:space="preserve"> </w:t>
      </w:r>
    </w:p>
    <w:p w14:paraId="4FE62554" w14:textId="77777777" w:rsidR="00FC6787" w:rsidRPr="00EB64E4" w:rsidRDefault="00FC6787" w:rsidP="004A42AD">
      <w:pPr>
        <w:suppressAutoHyphens/>
        <w:spacing w:after="0"/>
        <w:jc w:val="both"/>
        <w:rPr>
          <w:rFonts w:ascii="Times New Roman" w:hAnsi="Times New Roman"/>
          <w:bCs/>
          <w:sz w:val="24"/>
          <w:szCs w:val="24"/>
          <w:lang w:eastAsia="ar-SA"/>
        </w:rPr>
      </w:pPr>
    </w:p>
    <w:p w14:paraId="437E45B5" w14:textId="77777777" w:rsidR="00FC6787" w:rsidRPr="00FC6787" w:rsidRDefault="00FC6787" w:rsidP="00FC6787">
      <w:pPr>
        <w:spacing w:line="240" w:lineRule="auto"/>
        <w:jc w:val="center"/>
        <w:rPr>
          <w:rFonts w:ascii="Times New Roman" w:eastAsia="Times New Roman" w:hAnsi="Times New Roman" w:cs="Times New Roman"/>
          <w:sz w:val="26"/>
          <w:szCs w:val="26"/>
        </w:rPr>
      </w:pPr>
      <w:bookmarkStart w:id="1" w:name="_Hlk200737308"/>
      <w:r w:rsidRPr="00FC6787">
        <w:rPr>
          <w:rFonts w:ascii="Times New Roman" w:eastAsia="Tahoma" w:hAnsi="Times New Roman" w:cs="Times New Roman"/>
          <w:b/>
          <w:sz w:val="26"/>
          <w:szCs w:val="26"/>
          <w:lang w:eastAsia="zh-CN" w:bidi="hi-IN"/>
        </w:rPr>
        <w:t xml:space="preserve">Інформація про необхідні технічні, якісні та кількісні </w:t>
      </w:r>
      <w:r w:rsidRPr="00FC6787">
        <w:rPr>
          <w:rFonts w:ascii="Times New Roman" w:eastAsia="Times New Roman" w:hAnsi="Times New Roman" w:cs="Times New Roman"/>
          <w:b/>
          <w:sz w:val="26"/>
          <w:szCs w:val="26"/>
        </w:rPr>
        <w:t>та інші вимоги до</w:t>
      </w:r>
      <w:r w:rsidRPr="00FC6787">
        <w:rPr>
          <w:rFonts w:ascii="Times New Roman" w:eastAsia="Tahoma" w:hAnsi="Times New Roman" w:cs="Times New Roman"/>
          <w:b/>
          <w:sz w:val="26"/>
          <w:szCs w:val="26"/>
          <w:lang w:eastAsia="zh-CN" w:bidi="hi-IN"/>
        </w:rPr>
        <w:t xml:space="preserve"> предмета закупівлі</w:t>
      </w:r>
    </w:p>
    <w:bookmarkEnd w:id="1"/>
    <w:p w14:paraId="5E4515FB" w14:textId="1B303902" w:rsidR="00FC6787" w:rsidRDefault="00FC6787" w:rsidP="00E24E3E">
      <w:pPr>
        <w:pStyle w:val="11"/>
        <w:tabs>
          <w:tab w:val="left" w:pos="0"/>
        </w:tabs>
        <w:ind w:left="927" w:right="-79"/>
        <w:jc w:val="center"/>
        <w:rPr>
          <w:b/>
          <w:szCs w:val="24"/>
        </w:rPr>
      </w:pPr>
      <w:r>
        <w:rPr>
          <w:b/>
          <w:szCs w:val="24"/>
        </w:rPr>
        <w:lastRenderedPageBreak/>
        <w:t xml:space="preserve">Код </w:t>
      </w:r>
      <w:r w:rsidRPr="00877258">
        <w:rPr>
          <w:b/>
          <w:szCs w:val="24"/>
        </w:rPr>
        <w:t xml:space="preserve">ДК 021:2015 - </w:t>
      </w:r>
      <w:r w:rsidR="00E24E3E" w:rsidRPr="00E24E3E">
        <w:rPr>
          <w:b/>
          <w:szCs w:val="24"/>
        </w:rPr>
        <w:t>Дезинфекційні засоби різні, код ДК 021:2015 24455000-8 «Дезинфекційні засоби»</w:t>
      </w:r>
    </w:p>
    <w:p w14:paraId="1B69273C" w14:textId="77777777" w:rsidR="00FC6787" w:rsidRDefault="00FC6787" w:rsidP="00E24E3E">
      <w:pPr>
        <w:pStyle w:val="11"/>
        <w:tabs>
          <w:tab w:val="left" w:pos="0"/>
        </w:tabs>
        <w:ind w:left="927" w:right="-79"/>
        <w:jc w:val="center"/>
        <w:rPr>
          <w:b/>
          <w:sz w:val="22"/>
          <w:szCs w:val="22"/>
        </w:rPr>
      </w:pPr>
    </w:p>
    <w:p w14:paraId="2C12F59A" w14:textId="77777777" w:rsidR="00FC6787" w:rsidRPr="006D2DE8" w:rsidRDefault="00FC6787" w:rsidP="00FC6787">
      <w:pPr>
        <w:pStyle w:val="11"/>
        <w:tabs>
          <w:tab w:val="left" w:pos="0"/>
        </w:tabs>
        <w:ind w:left="0" w:right="-79"/>
        <w:jc w:val="center"/>
        <w:rPr>
          <w:b/>
          <w:szCs w:val="22"/>
        </w:rPr>
      </w:pPr>
      <w:r w:rsidRPr="006D2DE8">
        <w:rPr>
          <w:b/>
          <w:szCs w:val="22"/>
        </w:rPr>
        <w:t>Загальні вимоги:</w:t>
      </w:r>
    </w:p>
    <w:p w14:paraId="4E8DBEF9"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1. Засоби повинні бути зареєстровані в Україні у встановленому законодавством порядку (Надати копії декларації та сертифікату відповідності вимогам Технічного регламенту або підтвердження реєстрації в Державному реєстрі дезінфекційних засобів МОЗ).</w:t>
      </w:r>
    </w:p>
    <w:p w14:paraId="2EE4389D"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2. З метою запобігання закупівлі фальсифікатів та отримання гарантій на своєчасне постачання товару у кількості, якості та відповідним терміном зберігання, учасник надає оригінал листа від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яким підтверджується можливість поставки товару, який є предметом закупівлі цих торгів, у необхідній кількості, якості та в терміни. Гарантійний лист виробника (представника, дилера, дистриб'ютора, офіційно уповноваженого на це виробником – якщо їх відповідні повноваження поширюються на територію України) повинен включати: повну назву учасника, мати назву предмету закупівлі, номер оголошення даних електронних торгів.</w:t>
      </w:r>
    </w:p>
    <w:p w14:paraId="045CB6EE"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3. Залишковий термін придатності товару на момент поставки на склад замовника повинен становити не менше 70 % від передбаченого виробником (надати документ в довільній формі).</w:t>
      </w:r>
    </w:p>
    <w:p w14:paraId="73E27E68"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4. Упаковка, у якій будуть постачатися товар  має відповідати тій, що зареєстрована в Україні у встановленому порядку, а умови зберігання під час транспортування мають бути забезпечені постачальником згідно інструкції щодо застосування (надати документ в довільній формі).</w:t>
      </w:r>
    </w:p>
    <w:p w14:paraId="53185397"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 xml:space="preserve">5. Товар повинен передаватися Замовнику в упаковці підприємства виробника, яка не повинна бути деформованою або пошкодженою (надати документ в довільній формі). </w:t>
      </w:r>
    </w:p>
    <w:p w14:paraId="674BB2C7"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6. Поставка товару повинна здійснюватися транспортом Учасника до місць використання товару (надати документ в довільній формі).</w:t>
      </w:r>
    </w:p>
    <w:p w14:paraId="5E165DD9" w14:textId="77777777" w:rsidR="00E24E3E" w:rsidRPr="00E24E3E" w:rsidRDefault="00E24E3E" w:rsidP="00E24E3E">
      <w:pPr>
        <w:pStyle w:val="12"/>
        <w:spacing w:line="276" w:lineRule="auto"/>
        <w:rPr>
          <w:rFonts w:eastAsia="SimSun"/>
          <w:kern w:val="2"/>
          <w:sz w:val="23"/>
          <w:szCs w:val="23"/>
          <w:lang w:eastAsia="en-US"/>
        </w:rPr>
      </w:pPr>
      <w:r w:rsidRPr="00E24E3E">
        <w:rPr>
          <w:rFonts w:eastAsia="SimSun"/>
          <w:kern w:val="2"/>
          <w:sz w:val="23"/>
          <w:szCs w:val="23"/>
          <w:lang w:eastAsia="en-US"/>
        </w:rPr>
        <w:t>7. Учасник вправі запропонувати еквівалент. В разі подачі еквіваленту товару, що запропонований Замовником в медико-технічних вимогах, учасник подає порівняльну характеристику запропонованого ним товару та товару, що визначена в МТВ з відомостями щодо відповідності вимогам Замовника та документальним підтвердженням, згідно вимог Замовника.</w:t>
      </w:r>
    </w:p>
    <w:p w14:paraId="1B1B3AB5" w14:textId="77777777" w:rsidR="00E24E3E" w:rsidRPr="00E24E3E" w:rsidRDefault="00E24E3E" w:rsidP="00E24E3E">
      <w:pPr>
        <w:pStyle w:val="12"/>
        <w:spacing w:line="276" w:lineRule="auto"/>
        <w:rPr>
          <w:rFonts w:eastAsia="SimSun"/>
          <w:kern w:val="2"/>
          <w:sz w:val="23"/>
          <w:szCs w:val="23"/>
          <w:lang w:eastAsia="en-US"/>
        </w:rPr>
      </w:pPr>
    </w:p>
    <w:p w14:paraId="5E0C85F5" w14:textId="2D8E75B7" w:rsidR="00FC6787" w:rsidRDefault="00E24E3E" w:rsidP="00E24E3E">
      <w:pPr>
        <w:pStyle w:val="12"/>
        <w:widowControl/>
        <w:spacing w:line="276" w:lineRule="auto"/>
        <w:rPr>
          <w:rFonts w:eastAsia="SimSun"/>
          <w:kern w:val="2"/>
          <w:sz w:val="23"/>
          <w:szCs w:val="23"/>
          <w:lang w:eastAsia="en-US"/>
        </w:rPr>
      </w:pPr>
      <w:r w:rsidRPr="00E24E3E">
        <w:rPr>
          <w:rFonts w:eastAsia="SimSun"/>
          <w:kern w:val="2"/>
          <w:sz w:val="23"/>
          <w:szCs w:val="23"/>
          <w:lang w:eastAsia="en-US"/>
        </w:rPr>
        <w:t>У разі подання пропозиції, яка не відповідає медико-технічним вимогам та визначеному переліку, пропозиція не буде розглядатись та оцінюватись і буде відхилена як така, що не відповідає вимогам документації</w:t>
      </w:r>
      <w:r>
        <w:rPr>
          <w:rFonts w:eastAsia="SimSun"/>
          <w:kern w:val="2"/>
          <w:sz w:val="23"/>
          <w:szCs w:val="23"/>
          <w:lang w:eastAsia="en-US"/>
        </w:rPr>
        <w:t>.</w:t>
      </w:r>
    </w:p>
    <w:p w14:paraId="1D2EF58A" w14:textId="77777777" w:rsidR="00E24E3E" w:rsidRPr="00392F4A" w:rsidRDefault="00E24E3E" w:rsidP="00E24E3E">
      <w:pPr>
        <w:pStyle w:val="12"/>
        <w:widowControl/>
        <w:rPr>
          <w:b/>
          <w:sz w:val="22"/>
          <w:szCs w:val="22"/>
        </w:rPr>
      </w:pPr>
    </w:p>
    <w:p w14:paraId="217BF314" w14:textId="77777777" w:rsidR="00FC6787" w:rsidRPr="00E24E3E" w:rsidRDefault="00FC6787" w:rsidP="00FC6787">
      <w:pPr>
        <w:pStyle w:val="12"/>
        <w:widowControl/>
        <w:jc w:val="center"/>
        <w:rPr>
          <w:b/>
          <w:sz w:val="24"/>
          <w:szCs w:val="22"/>
          <w:lang w:val="ru-RU"/>
        </w:rPr>
      </w:pPr>
      <w:r w:rsidRPr="00E24E3E">
        <w:rPr>
          <w:b/>
          <w:sz w:val="24"/>
          <w:szCs w:val="22"/>
        </w:rPr>
        <w:t xml:space="preserve">Вимоги щодо необхідних технічних, якісних та кількісних характеристик предмета </w:t>
      </w:r>
    </w:p>
    <w:p w14:paraId="2B290F66" w14:textId="77777777" w:rsidR="00FC6787" w:rsidRPr="00E24E3E" w:rsidRDefault="00FC6787" w:rsidP="00FC6787">
      <w:pPr>
        <w:pStyle w:val="12"/>
        <w:widowControl/>
        <w:jc w:val="center"/>
        <w:rPr>
          <w:b/>
          <w:sz w:val="24"/>
          <w:szCs w:val="22"/>
        </w:rPr>
      </w:pPr>
      <w:r w:rsidRPr="00E24E3E">
        <w:rPr>
          <w:b/>
          <w:sz w:val="24"/>
          <w:szCs w:val="22"/>
        </w:rPr>
        <w:t>закупівлі</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4"/>
        <w:gridCol w:w="2274"/>
        <w:gridCol w:w="1344"/>
        <w:gridCol w:w="5387"/>
        <w:gridCol w:w="1201"/>
      </w:tblGrid>
      <w:tr w:rsidR="00E24E3E" w:rsidRPr="00E24E3E" w14:paraId="031156ED" w14:textId="77777777" w:rsidTr="00E24E3E">
        <w:tc>
          <w:tcPr>
            <w:tcW w:w="454" w:type="dxa"/>
            <w:shd w:val="clear" w:color="auto" w:fill="auto"/>
            <w:vAlign w:val="center"/>
          </w:tcPr>
          <w:p w14:paraId="7EE06BC0" w14:textId="77777777" w:rsidR="00E24E3E" w:rsidRPr="00E24E3E" w:rsidRDefault="00E24E3E" w:rsidP="00E24E3E">
            <w:pPr>
              <w:spacing w:after="0" w:line="240" w:lineRule="auto"/>
              <w:jc w:val="center"/>
              <w:rPr>
                <w:rFonts w:ascii="Times New Roman" w:eastAsia="Times New Roman" w:hAnsi="Times New Roman" w:cs="Times New Roman"/>
                <w:b/>
                <w:lang w:val="uk-UA" w:eastAsia="uk-UA"/>
              </w:rPr>
            </w:pPr>
            <w:r w:rsidRPr="00E24E3E">
              <w:rPr>
                <w:rFonts w:ascii="Times New Roman" w:eastAsia="Times New Roman" w:hAnsi="Times New Roman" w:cs="Times New Roman"/>
                <w:b/>
                <w:lang w:val="uk-UA" w:eastAsia="uk-UA"/>
              </w:rPr>
              <w:t>№</w:t>
            </w:r>
          </w:p>
          <w:p w14:paraId="0292B331" w14:textId="77777777" w:rsidR="00E24E3E" w:rsidRPr="00E24E3E" w:rsidRDefault="00E24E3E" w:rsidP="00E24E3E">
            <w:pPr>
              <w:spacing w:after="0" w:line="240" w:lineRule="auto"/>
              <w:jc w:val="center"/>
              <w:rPr>
                <w:rFonts w:ascii="Times New Roman" w:eastAsia="Times New Roman" w:hAnsi="Times New Roman" w:cs="Times New Roman"/>
                <w:b/>
                <w:lang w:val="uk-UA" w:eastAsia="uk-UA"/>
              </w:rPr>
            </w:pPr>
            <w:r w:rsidRPr="00E24E3E">
              <w:rPr>
                <w:rFonts w:ascii="Times New Roman" w:eastAsia="Times New Roman" w:hAnsi="Times New Roman" w:cs="Times New Roman"/>
                <w:b/>
                <w:lang w:val="uk-UA" w:eastAsia="uk-UA"/>
              </w:rPr>
              <w:t>п/п</w:t>
            </w:r>
          </w:p>
        </w:tc>
        <w:tc>
          <w:tcPr>
            <w:tcW w:w="2274" w:type="dxa"/>
            <w:shd w:val="clear" w:color="auto" w:fill="auto"/>
            <w:vAlign w:val="center"/>
          </w:tcPr>
          <w:p w14:paraId="50F11DD1" w14:textId="77777777" w:rsidR="00E24E3E" w:rsidRPr="00E24E3E" w:rsidRDefault="00E24E3E" w:rsidP="00E24E3E">
            <w:pPr>
              <w:spacing w:after="0" w:line="240" w:lineRule="auto"/>
              <w:jc w:val="center"/>
              <w:rPr>
                <w:rFonts w:ascii="Times New Roman" w:eastAsia="Times New Roman" w:hAnsi="Times New Roman" w:cs="Times New Roman"/>
                <w:b/>
                <w:lang w:val="uk-UA" w:eastAsia="uk-UA"/>
              </w:rPr>
            </w:pPr>
            <w:r w:rsidRPr="00E24E3E">
              <w:rPr>
                <w:rFonts w:ascii="Times New Roman" w:eastAsia="Times New Roman" w:hAnsi="Times New Roman" w:cs="Times New Roman"/>
                <w:b/>
                <w:lang w:val="uk-UA" w:eastAsia="uk-UA"/>
              </w:rPr>
              <w:t>Найменування</w:t>
            </w:r>
          </w:p>
        </w:tc>
        <w:tc>
          <w:tcPr>
            <w:tcW w:w="1344" w:type="dxa"/>
            <w:shd w:val="clear" w:color="auto" w:fill="auto"/>
            <w:vAlign w:val="center"/>
          </w:tcPr>
          <w:p w14:paraId="4D11AB8D" w14:textId="77777777" w:rsidR="00E24E3E" w:rsidRPr="00E24E3E" w:rsidRDefault="00E24E3E" w:rsidP="00E24E3E">
            <w:pPr>
              <w:spacing w:after="0" w:line="240" w:lineRule="auto"/>
              <w:jc w:val="center"/>
              <w:rPr>
                <w:rFonts w:ascii="Times New Roman" w:eastAsia="Times New Roman" w:hAnsi="Times New Roman" w:cs="Times New Roman"/>
                <w:b/>
                <w:lang w:val="uk-UA" w:eastAsia="uk-UA"/>
              </w:rPr>
            </w:pPr>
            <w:r w:rsidRPr="00E24E3E">
              <w:rPr>
                <w:rFonts w:ascii="Times New Roman" w:eastAsia="Times New Roman" w:hAnsi="Times New Roman" w:cs="Times New Roman"/>
                <w:b/>
                <w:lang w:val="uk-UA" w:eastAsia="uk-UA"/>
              </w:rPr>
              <w:t>Пакування</w:t>
            </w:r>
          </w:p>
        </w:tc>
        <w:tc>
          <w:tcPr>
            <w:tcW w:w="5387" w:type="dxa"/>
            <w:shd w:val="clear" w:color="auto" w:fill="auto"/>
            <w:vAlign w:val="center"/>
          </w:tcPr>
          <w:p w14:paraId="39EF1BC9" w14:textId="77777777" w:rsidR="00E24E3E" w:rsidRPr="00E24E3E" w:rsidRDefault="00E24E3E" w:rsidP="00E24E3E">
            <w:pPr>
              <w:spacing w:after="0" w:line="240" w:lineRule="auto"/>
              <w:jc w:val="center"/>
              <w:rPr>
                <w:rFonts w:ascii="Times New Roman" w:eastAsia="Times New Roman" w:hAnsi="Times New Roman" w:cs="Times New Roman"/>
                <w:b/>
                <w:lang w:val="uk-UA" w:eastAsia="uk-UA"/>
              </w:rPr>
            </w:pPr>
            <w:r w:rsidRPr="00E24E3E">
              <w:rPr>
                <w:rFonts w:ascii="Times New Roman" w:eastAsia="Times New Roman" w:hAnsi="Times New Roman" w:cs="Times New Roman"/>
                <w:b/>
                <w:color w:val="000000"/>
                <w:lang w:val="uk-UA" w:eastAsia="uk-UA"/>
              </w:rPr>
              <w:t>Медико - технічні вимоги</w:t>
            </w:r>
          </w:p>
        </w:tc>
        <w:tc>
          <w:tcPr>
            <w:tcW w:w="1201" w:type="dxa"/>
            <w:shd w:val="clear" w:color="auto" w:fill="auto"/>
            <w:vAlign w:val="center"/>
          </w:tcPr>
          <w:p w14:paraId="2509C683" w14:textId="77777777" w:rsidR="00E24E3E" w:rsidRPr="00E24E3E" w:rsidRDefault="00E24E3E" w:rsidP="00E24E3E">
            <w:pPr>
              <w:spacing w:after="0" w:line="240" w:lineRule="auto"/>
              <w:jc w:val="center"/>
              <w:rPr>
                <w:rFonts w:ascii="Times New Roman" w:eastAsia="Times New Roman" w:hAnsi="Times New Roman" w:cs="Times New Roman"/>
                <w:b/>
                <w:lang w:val="uk-UA" w:eastAsia="uk-UA"/>
              </w:rPr>
            </w:pPr>
            <w:r w:rsidRPr="00E24E3E">
              <w:rPr>
                <w:rFonts w:ascii="Times New Roman" w:eastAsia="Times New Roman" w:hAnsi="Times New Roman" w:cs="Times New Roman"/>
                <w:b/>
                <w:lang w:val="uk-UA" w:eastAsia="uk-UA"/>
              </w:rPr>
              <w:t>Кількість/шт.</w:t>
            </w:r>
          </w:p>
        </w:tc>
      </w:tr>
      <w:tr w:rsidR="00E24E3E" w:rsidRPr="00E24E3E" w14:paraId="02785F41" w14:textId="77777777" w:rsidTr="00E24E3E">
        <w:tc>
          <w:tcPr>
            <w:tcW w:w="10660" w:type="dxa"/>
            <w:gridSpan w:val="5"/>
            <w:shd w:val="clear" w:color="auto" w:fill="BDD6EE"/>
          </w:tcPr>
          <w:p w14:paraId="4B407293" w14:textId="77777777" w:rsidR="00E24E3E" w:rsidRPr="00E24E3E" w:rsidRDefault="00E24E3E" w:rsidP="00E24E3E">
            <w:pPr>
              <w:spacing w:after="0" w:line="240" w:lineRule="auto"/>
              <w:jc w:val="center"/>
              <w:rPr>
                <w:rFonts w:ascii="Times New Roman" w:eastAsia="Times New Roman" w:hAnsi="Times New Roman" w:cs="Times New Roman"/>
                <w:lang w:val="uk-UA" w:eastAsia="uk-UA"/>
              </w:rPr>
            </w:pPr>
            <w:r w:rsidRPr="00E24E3E">
              <w:rPr>
                <w:rFonts w:ascii="Times New Roman" w:eastAsia="Times New Roman" w:hAnsi="Times New Roman" w:cs="Times New Roman"/>
                <w:b/>
                <w:lang w:val="uk-UA" w:eastAsia="uk-UA"/>
              </w:rPr>
              <w:t>ЗАСОБИ ДЛЯ ШВИДКОЇ ДЕЗІНФЕКЦІЇ ПОВЕРХОНЬ</w:t>
            </w:r>
          </w:p>
        </w:tc>
      </w:tr>
      <w:tr w:rsidR="00E24E3E" w:rsidRPr="00E24E3E" w14:paraId="374F675E" w14:textId="77777777" w:rsidTr="00E24E3E">
        <w:tc>
          <w:tcPr>
            <w:tcW w:w="454" w:type="dxa"/>
            <w:shd w:val="clear" w:color="auto" w:fill="auto"/>
          </w:tcPr>
          <w:p w14:paraId="5EEAEFAB" w14:textId="77777777" w:rsidR="00E24E3E" w:rsidRPr="00E24E3E" w:rsidRDefault="00E24E3E" w:rsidP="00E24E3E">
            <w:pPr>
              <w:spacing w:after="0" w:line="240" w:lineRule="auto"/>
              <w:rPr>
                <w:rFonts w:ascii="Times New Roman" w:eastAsia="Times New Roman" w:hAnsi="Times New Roman" w:cs="Times New Roman"/>
                <w:lang w:eastAsia="uk-UA"/>
              </w:rPr>
            </w:pPr>
            <w:r w:rsidRPr="00E24E3E">
              <w:rPr>
                <w:rFonts w:ascii="Times New Roman" w:eastAsia="Times New Roman" w:hAnsi="Times New Roman" w:cs="Times New Roman"/>
                <w:lang w:eastAsia="uk-UA"/>
              </w:rPr>
              <w:t>1</w:t>
            </w:r>
          </w:p>
        </w:tc>
        <w:tc>
          <w:tcPr>
            <w:tcW w:w="2274" w:type="dxa"/>
            <w:shd w:val="clear" w:color="auto" w:fill="auto"/>
          </w:tcPr>
          <w:p w14:paraId="75F94FA8" w14:textId="77777777" w:rsidR="00E24E3E" w:rsidRPr="00E24E3E" w:rsidRDefault="00E24E3E" w:rsidP="00E24E3E">
            <w:pPr>
              <w:spacing w:before="100" w:beforeAutospacing="1" w:after="100" w:afterAutospacing="1" w:line="240" w:lineRule="auto"/>
              <w:rPr>
                <w:rFonts w:ascii="Times New Roman" w:eastAsia="Times New Roman" w:hAnsi="Times New Roman" w:cs="Times New Roman"/>
                <w:lang w:val="uk-UA"/>
              </w:rPr>
            </w:pPr>
            <w:r w:rsidRPr="00E24E3E">
              <w:rPr>
                <w:rFonts w:ascii="Times New Roman" w:eastAsia="Times New Roman" w:hAnsi="Times New Roman" w:cs="Times New Roman"/>
                <w:lang w:val="uk-UA"/>
              </w:rPr>
              <w:t xml:space="preserve">Засіб дезінфекційний "Санігран" </w:t>
            </w:r>
          </w:p>
        </w:tc>
        <w:tc>
          <w:tcPr>
            <w:tcW w:w="1344" w:type="dxa"/>
            <w:shd w:val="clear" w:color="auto" w:fill="auto"/>
          </w:tcPr>
          <w:p w14:paraId="7871DD62" w14:textId="77777777" w:rsidR="00E24E3E" w:rsidRPr="00E24E3E" w:rsidRDefault="00E24E3E" w:rsidP="00E24E3E">
            <w:pPr>
              <w:spacing w:after="0" w:line="240" w:lineRule="auto"/>
              <w:jc w:val="center"/>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банка 1кг  (300 таб.)</w:t>
            </w:r>
          </w:p>
        </w:tc>
        <w:tc>
          <w:tcPr>
            <w:tcW w:w="5387" w:type="dxa"/>
            <w:shd w:val="clear" w:color="auto" w:fill="auto"/>
          </w:tcPr>
          <w:p w14:paraId="4346F475"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Дезінфекційний засіб для дезінфекції низького і середнього рівня поверхонь неінвазивних та інвазивних медичних виробів (МВ) (у т.ч. для дезінфекції МВ, поєднаної з ПСО крім ендоскопів), медичних приладів, апаратів, устаткування, обладнання, предметів догляду за хворими, медичних меблів тощо; для попереднього миття, видалення органічних матеріалів перед дезінфекцією напівкритичних МВ та дезінфекцією і стерилізацією критичних МВ.</w:t>
            </w:r>
          </w:p>
          <w:p w14:paraId="141D1016"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 </w:t>
            </w:r>
          </w:p>
          <w:p w14:paraId="39FEDED4"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 Засіб у вигляді швидкорозчинних шипучих таблеток масою 3,15-3,65 г, при розчиненні однієї таблетки у воді виділяється не менше 1,5 г активного хлору.</w:t>
            </w:r>
          </w:p>
          <w:p w14:paraId="01B745C2"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lastRenderedPageBreak/>
              <w:t>2. Склад засобу: діюча речовина - натрієва сіль дихлорізоціанурової кислоти - 80-85%; допоміжні речовини: адипінова кислота і карбонат натрію у рівному співвідношенні - разом 15-20% для прискорення розчинення таблеток, регулюювання рН розчину, встановлення його в оптимальному для антимікробної дії діапазоні, зменшення корозійної і фіксуючої дії розчинів; засіб не повинен містити трихлорізоціанурову, ізоціанурову кислоту та їх солі;</w:t>
            </w:r>
          </w:p>
          <w:p w14:paraId="6EFBD5AD"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3. Водневий показник (рН) 1,0% (за препаратом) водного розчину засобу – 6,0–7,0; </w:t>
            </w:r>
          </w:p>
          <w:p w14:paraId="4E414283"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4. Засіб має добре розчинятись у воді, водні розчини зі слабким запахом хлору; мають володіти мийними властивостями (видаляти механічні і органічні забруднення, включаючи біоплівки), не фіксувати органічні забруднення, добре змиватись, не залишаючи слідів і нальоту. </w:t>
            </w:r>
          </w:p>
          <w:p w14:paraId="38A18550"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5. Можливість посилення мийних властивостей розчинів додаванням до них мийних засобів;</w:t>
            </w:r>
          </w:p>
          <w:p w14:paraId="27843338"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6. Широкий спектр антимікробної дії: бактерицидна проти широкого спектру грам-негативних та грам-позитивних бактерій (включаючи S.aureus,  метицилін-резістентний стафілокок (MRSA), P.aeruginosa, збудників дизентерії, сальмонельозу, паратифу, черевного тифу, холери, чуми, туляремії, спороутворюючі бактерії родів Bacillus, Clostridium і ін., збудників внутрішньо-лікарняних інфекцій),  туберкулоцидна*, віруліцидна (в т.ч. проти збудників гепатитів А, В, С, ВІЛ-інфекції, герпесу, грипу всіх типів, парагрипу, пташиного грипу, SARS («атипова пневмонія»), аденовірусної, ентеровірусної (в т.ч. поліомієліт, Коксаки, ЕСНО), коронавірусної, респіраторно-синцитіальної, ріновірусної, рота вірусної, цитомегаловірусної інфекції тощо), фунгіцидна (проти патогенних грибів роду Саndida і дерматофітів, а також ефективний у знищенні та попередженні появи плісняви A.niger, у т.ч. в споровій формі) дія. (*Примітка. Туберкулоцидна дія засобу має бути досліджена на тест-штамі Mycobacterium terrae). Засіб має бути ефективним  проти збудників паразитарних хвороб (цист і ооцист найпростіших, яєць й личинок гельмінтів). </w:t>
            </w:r>
          </w:p>
          <w:p w14:paraId="15ADA711"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7. Безпечність засобу - можливість проведення дезінфекції поверхонь в присутності сторонніх осіб методом протирання розчинами в кнцентрації від 0,01% до 0,03% за активним хлором, у тому числі в режимі проти збудників туберкульозу; </w:t>
            </w:r>
          </w:p>
          <w:p w14:paraId="41EEE1BC"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 Відсутність вимоги щодо 2-разової обробки поверхонь приміщень та змивання залишків засобу після обробки;</w:t>
            </w:r>
          </w:p>
          <w:p w14:paraId="0456C9BC"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9. Наявність режимів застосування засобу: </w:t>
            </w:r>
          </w:p>
          <w:p w14:paraId="1085DC02"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9.1. для миття, видалення органічних матеріалів з виробів перед дезінфекцією напівкритичних медичних виробів та дезінфекцією і стерилізацією критичних медичних виробів;</w:t>
            </w:r>
          </w:p>
          <w:p w14:paraId="7A5600BB"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9.2. для дезінфекції низького і середнього рівня;</w:t>
            </w:r>
          </w:p>
          <w:p w14:paraId="5066F520"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9.3. для дезінфекції при особливо небезпечних інфекціях, в т.ч. при сибірці, а також проти збудників анаеробних інфекцій роду Clostridium; </w:t>
            </w:r>
          </w:p>
          <w:p w14:paraId="18D6BBBF"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9.4. для дезінвазії; </w:t>
            </w:r>
          </w:p>
          <w:p w14:paraId="00ED502E"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lastRenderedPageBreak/>
              <w:t xml:space="preserve">9.5. для знезараження медичних відходів категорії В (крові та інших біологічних рідин); </w:t>
            </w:r>
          </w:p>
          <w:p w14:paraId="2B299442"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10. Можливість багаторазового використання робочих розчинів для дезінфекції медичних виробів, посуду та ін. методами занурення і замочування;</w:t>
            </w:r>
          </w:p>
          <w:p w14:paraId="75296D82"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11. Термін придатності робочих розчинів - 7 діб;</w:t>
            </w:r>
          </w:p>
          <w:p w14:paraId="515B0F25"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12. Можливість знешкодження відпрацьованих робочих розчинив без попередньої нейтралізації або розведення водою;</w:t>
            </w:r>
          </w:p>
          <w:p w14:paraId="2D60EADD"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13. Пакування, фасування: у пластикові банки по 1 кг таблеток (не менше 300 шт.);</w:t>
            </w:r>
          </w:p>
          <w:p w14:paraId="7A1EF3C1"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14. Гарантійний термін зберігання засобу – не менше 5 років від дати виробництва; </w:t>
            </w:r>
          </w:p>
        </w:tc>
        <w:tc>
          <w:tcPr>
            <w:tcW w:w="1201" w:type="dxa"/>
            <w:tcBorders>
              <w:top w:val="nil"/>
              <w:left w:val="single" w:sz="4" w:space="0" w:color="auto"/>
              <w:bottom w:val="single" w:sz="4" w:space="0" w:color="auto"/>
              <w:right w:val="single" w:sz="4" w:space="0" w:color="auto"/>
            </w:tcBorders>
            <w:shd w:val="clear" w:color="auto" w:fill="auto"/>
          </w:tcPr>
          <w:p w14:paraId="107A1A4B" w14:textId="571DF2C9" w:rsidR="00E24E3E" w:rsidRPr="00DE0E2C" w:rsidRDefault="00DE0E2C" w:rsidP="00E24E3E">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color w:val="000000"/>
                <w:lang w:val="uk-UA" w:eastAsia="uk-UA"/>
              </w:rPr>
              <w:lastRenderedPageBreak/>
              <w:t>36</w:t>
            </w:r>
          </w:p>
        </w:tc>
      </w:tr>
      <w:tr w:rsidR="00E24E3E" w:rsidRPr="00E24E3E" w14:paraId="0CD299A2" w14:textId="77777777" w:rsidTr="00E24E3E">
        <w:tc>
          <w:tcPr>
            <w:tcW w:w="454" w:type="dxa"/>
            <w:shd w:val="clear" w:color="auto" w:fill="auto"/>
          </w:tcPr>
          <w:p w14:paraId="6F2474F9" w14:textId="327B855F" w:rsidR="00E24E3E" w:rsidRPr="00E24E3E" w:rsidRDefault="00DE0E2C" w:rsidP="00E24E3E">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2</w:t>
            </w:r>
          </w:p>
        </w:tc>
        <w:tc>
          <w:tcPr>
            <w:tcW w:w="2274" w:type="dxa"/>
            <w:tcBorders>
              <w:top w:val="nil"/>
              <w:left w:val="single" w:sz="4" w:space="0" w:color="auto"/>
              <w:bottom w:val="single" w:sz="4" w:space="0" w:color="auto"/>
              <w:right w:val="single" w:sz="4" w:space="0" w:color="auto"/>
            </w:tcBorders>
            <w:shd w:val="clear" w:color="auto" w:fill="auto"/>
          </w:tcPr>
          <w:p w14:paraId="64A85497" w14:textId="77777777" w:rsidR="00E24E3E" w:rsidRPr="00E24E3E" w:rsidRDefault="00E24E3E" w:rsidP="00E24E3E">
            <w:pPr>
              <w:spacing w:before="100" w:beforeAutospacing="1" w:after="100" w:afterAutospacing="1" w:line="240" w:lineRule="auto"/>
              <w:rPr>
                <w:rFonts w:ascii="Times New Roman" w:eastAsia="Times New Roman" w:hAnsi="Times New Roman" w:cs="Times New Roman"/>
                <w:lang w:val="uk-UA"/>
              </w:rPr>
            </w:pPr>
            <w:r w:rsidRPr="00E24E3E">
              <w:rPr>
                <w:rFonts w:ascii="Times New Roman" w:eastAsia="Times New Roman" w:hAnsi="Times New Roman" w:cs="Times New Roman"/>
                <w:lang w:val="uk-UA"/>
              </w:rPr>
              <w:t>Засіб дезінфекційний "Саніфект" концентрат, UA</w:t>
            </w:r>
          </w:p>
        </w:tc>
        <w:tc>
          <w:tcPr>
            <w:tcW w:w="1344" w:type="dxa"/>
            <w:shd w:val="clear" w:color="auto" w:fill="auto"/>
          </w:tcPr>
          <w:p w14:paraId="28C2007F" w14:textId="77777777" w:rsidR="00E24E3E" w:rsidRPr="00E24E3E" w:rsidRDefault="00E24E3E" w:rsidP="00E24E3E">
            <w:pPr>
              <w:spacing w:after="0" w:line="240" w:lineRule="auto"/>
              <w:jc w:val="center"/>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флакон, 1л</w:t>
            </w:r>
          </w:p>
        </w:tc>
        <w:tc>
          <w:tcPr>
            <w:tcW w:w="5387" w:type="dxa"/>
            <w:shd w:val="clear" w:color="auto" w:fill="auto"/>
          </w:tcPr>
          <w:p w14:paraId="3599C13C"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Дезінфекційний засіб для дезінфекції низького і середнього рівня поверхонь неінвазивних і інвазивних медичних виробів (включаючи ендоскопи), медичного обладнання і апаратури (у т.ч. кувезів, датчиків апаратів УЗД та наркозно-дихальної апаратури), меблів, предметів догляду за хворими; для поточної і заключної дезінфекції; для ПСО медичних виробів (включаючи ендоскопи та медичні інструменти до них) ручним методом та з використанням ультразвуку поєднане і не поєднане з дезінфекцією в одному етапі; для попереднього промивання перед дезінфекцією забруднених біологічними речовинами медичних виробів.</w:t>
            </w:r>
          </w:p>
          <w:p w14:paraId="6696DE01"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p>
          <w:p w14:paraId="44CFC9F1"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 Засіб рідкий концентрований на основі комплексу 2-х четвертинних амонієвих солей (ЧАС) (не менше 9,0% сумарно) і синергетичних допоміжних речовин (в т.ч. ПАР, регулятор рН, комплексоутворювач, інгібітор корозії, барвник, ароматизатор), що не містить в якості діючої речовини альдегіди, надкислоти, похідні гуанідинів, аміни, спирти, активний хлор або кисень, кислоти, похідні фенолів, екологічно несприятливі речовини та компоненти з алергізуючою дією (зокрема, ферменти); показник рН засобу (од. рН) - 10,5±1,5; показник рН 1% (за препаратом) водного розчину засобу (од. рН) - 9,6±1,0;</w:t>
            </w:r>
          </w:p>
          <w:p w14:paraId="72830CDF"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2. Сумісність з різними матеріалами об’єктів обробки, відсутність пошкоджуючої дії на вироби з металів (в т.ч. кольорових), скла, полімерних матеріалів (в т.ч. поліетилену, поліпропілену, полівінілхлориду, органолу, полікарбонату, полісульфону, поліметилметакрилату, поліуретану, акрілонітрілбутадієнстиролу, лінолеуму та ін.), різних видів гуми, штучної шкіри, на лакофарбове та гальванічне покриття; відсутність порушення рухливості замкових з’єднань інструментів;</w:t>
            </w:r>
          </w:p>
          <w:p w14:paraId="2891BD8D"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3. Наявність виражених мийних, змочувальних, диспергуючих, емульгуючих та дезодоруючих властивостей, ефективність для видалення біоплівок; відсутність фіксуючої дії на органічні забруднення;</w:t>
            </w:r>
          </w:p>
          <w:p w14:paraId="7A218B7B"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4. Можливість дезінфекції і передстерилізаційного очищення медичних виробів (включаючи жорсткі  й  гнучкі  ендоскопи) ручнм методом та з використанням ультразвукового мийного обладнання, та термохімічної дезінфекції (при температурі робочого розчину 50 оС);</w:t>
            </w:r>
          </w:p>
          <w:p w14:paraId="73F0F5E7"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lastRenderedPageBreak/>
              <w:t>5. Можливість використання теплих робочих розчинів (при температурі 50 оС) і додавання до розчинів кальцинованої соди (до 3,0%);</w:t>
            </w:r>
          </w:p>
          <w:p w14:paraId="7E168172"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6. Широкий спектр антимікробної активності, ефективність проти грам-позитивних і грам-негативних бактерій (включаючи збудників внутрішньо лікарняних інфекцій, холери та туберкульозу), вірусів (включаючи поліовіруси, віруси гепатитів А, В, С, ВІЛ, герпесу, збудники респіраторних інфекцій, ротавірусних гастроентеритів та ентеровірусних інфекцій), патогенних грибів збудників кандидозів і дерматомікозів і цвілі, а також наявність спороцидної дії;</w:t>
            </w:r>
          </w:p>
          <w:p w14:paraId="4070ED39"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7. Відсутність необхідності 2-разової обробки та обов’язкового змивання залишків засобу с поверхонь об'єктів після обробки (при обробці поверхонь приміщень);</w:t>
            </w:r>
          </w:p>
          <w:p w14:paraId="47497275"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 Наявність режимів:</w:t>
            </w:r>
          </w:p>
          <w:p w14:paraId="67B8C8AB"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8.1. дезінфекції медичних виробів (в т.ч. ендоскопів) при скороченій експозиції 10 хв.;</w:t>
            </w:r>
          </w:p>
          <w:p w14:paraId="36F743FA"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9. Наявність залишкової (пролонгованої) антимікробної дії; </w:t>
            </w:r>
          </w:p>
          <w:p w14:paraId="46F7B153"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10. Відсутність плівкоутворюючих компонентів, не порушує рухливість замкових з’єднань інструментів, не порушує конгруентність прилеглих деталей і вузлів обладнання;</w:t>
            </w:r>
          </w:p>
          <w:p w14:paraId="275A9F63"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11. Відсутність знебарвлюючої дії розчинів та не зменшення міцності тканин.</w:t>
            </w:r>
          </w:p>
          <w:p w14:paraId="5AA15176"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12. Можливість багаторазового використання робочих розчинів;</w:t>
            </w:r>
          </w:p>
          <w:p w14:paraId="79BEF40E"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13. Безпечність засобу: відсутність необхідності застосування засобів індивідуального захисту органів дихання (респіраторів) та гумового взуття при приготуванні та використанні робочих розчинів засобу методом протирання; можливість проведення дезінфекції в присутності сторонніх осіб методом протирання, замочування та занурення без обмежень по концентрації робочих розчинів,  </w:t>
            </w:r>
          </w:p>
          <w:p w14:paraId="2DA5B546"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14. Термін зберігання робочих розчинів до застосування не менше 14 діб;</w:t>
            </w:r>
          </w:p>
          <w:p w14:paraId="4927FF64"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15. Можливість знешкодження відпрацьованих робочих розчинив без попередньої нейтралізації або розведення водою;</w:t>
            </w:r>
          </w:p>
          <w:p w14:paraId="1E7D8BAD"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16. Пакування і фасування: у пляшки з вбудованим дозатором об’ємом 1 л</w:t>
            </w:r>
          </w:p>
        </w:tc>
        <w:tc>
          <w:tcPr>
            <w:tcW w:w="1201" w:type="dxa"/>
            <w:tcBorders>
              <w:top w:val="nil"/>
              <w:left w:val="single" w:sz="4" w:space="0" w:color="auto"/>
              <w:bottom w:val="single" w:sz="4" w:space="0" w:color="auto"/>
              <w:right w:val="single" w:sz="4" w:space="0" w:color="auto"/>
            </w:tcBorders>
            <w:shd w:val="clear" w:color="auto" w:fill="auto"/>
          </w:tcPr>
          <w:p w14:paraId="51643859" w14:textId="23B34ABF" w:rsidR="00E24E3E" w:rsidRPr="00E24E3E" w:rsidRDefault="00DE0E2C" w:rsidP="00E24E3E">
            <w:pPr>
              <w:spacing w:after="0" w:line="240" w:lineRule="auto"/>
              <w:jc w:val="center"/>
              <w:rPr>
                <w:rFonts w:ascii="Times New Roman" w:eastAsia="Times New Roman" w:hAnsi="Times New Roman" w:cs="Times New Roman"/>
                <w:lang w:eastAsia="uk-UA"/>
              </w:rPr>
            </w:pPr>
            <w:r>
              <w:rPr>
                <w:rFonts w:ascii="Times New Roman" w:eastAsia="Times New Roman" w:hAnsi="Times New Roman" w:cs="Times New Roman"/>
                <w:lang w:val="uk-UA" w:eastAsia="uk-UA"/>
              </w:rPr>
              <w:lastRenderedPageBreak/>
              <w:t>30</w:t>
            </w:r>
          </w:p>
        </w:tc>
      </w:tr>
      <w:tr w:rsidR="00E24E3E" w:rsidRPr="00E24E3E" w14:paraId="6B6D58FD" w14:textId="77777777" w:rsidTr="00E24E3E">
        <w:tc>
          <w:tcPr>
            <w:tcW w:w="454" w:type="dxa"/>
            <w:shd w:val="clear" w:color="auto" w:fill="auto"/>
          </w:tcPr>
          <w:p w14:paraId="065C9387" w14:textId="3DF5DA19" w:rsidR="00E24E3E" w:rsidRPr="00E24E3E" w:rsidRDefault="00DE0E2C" w:rsidP="00E24E3E">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3</w:t>
            </w:r>
          </w:p>
        </w:tc>
        <w:tc>
          <w:tcPr>
            <w:tcW w:w="2274" w:type="dxa"/>
            <w:tcBorders>
              <w:top w:val="nil"/>
              <w:left w:val="single" w:sz="4" w:space="0" w:color="auto"/>
              <w:bottom w:val="single" w:sz="4" w:space="0" w:color="auto"/>
              <w:right w:val="single" w:sz="4" w:space="0" w:color="auto"/>
            </w:tcBorders>
            <w:shd w:val="clear" w:color="auto" w:fill="auto"/>
          </w:tcPr>
          <w:p w14:paraId="289453F2" w14:textId="77777777" w:rsidR="00E24E3E" w:rsidRPr="00E24E3E" w:rsidRDefault="00E24E3E" w:rsidP="00E24E3E">
            <w:pPr>
              <w:spacing w:before="100" w:beforeAutospacing="1" w:after="100" w:afterAutospacing="1" w:line="240" w:lineRule="auto"/>
              <w:rPr>
                <w:rFonts w:ascii="Times New Roman" w:eastAsia="Times New Roman" w:hAnsi="Times New Roman" w:cs="Times New Roman"/>
                <w:lang w:val="uk-UA"/>
              </w:rPr>
            </w:pPr>
            <w:r w:rsidRPr="00E24E3E">
              <w:rPr>
                <w:rFonts w:ascii="Times New Roman" w:eastAsia="Times New Roman" w:hAnsi="Times New Roman" w:cs="Times New Roman"/>
                <w:lang w:val="uk-UA"/>
              </w:rPr>
              <w:t>Засіб дезінфекційний "Санікон" концентрат</w:t>
            </w:r>
          </w:p>
        </w:tc>
        <w:tc>
          <w:tcPr>
            <w:tcW w:w="1344" w:type="dxa"/>
            <w:shd w:val="clear" w:color="auto" w:fill="auto"/>
          </w:tcPr>
          <w:p w14:paraId="5D6543B4" w14:textId="77777777" w:rsidR="00E24E3E" w:rsidRPr="00E24E3E" w:rsidRDefault="00E24E3E" w:rsidP="00E24E3E">
            <w:pPr>
              <w:spacing w:after="0" w:line="240" w:lineRule="auto"/>
              <w:jc w:val="center"/>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флакон 1 л</w:t>
            </w:r>
          </w:p>
        </w:tc>
        <w:tc>
          <w:tcPr>
            <w:tcW w:w="5387" w:type="dxa"/>
            <w:shd w:val="clear" w:color="auto" w:fill="auto"/>
          </w:tcPr>
          <w:p w14:paraId="10E33399"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Дезінфекційний засіб для дезінфекції низького і середнього рівня поверхонь неінвазивних і інвазивних медичних виробів, обладнання і апаратури (в т.ч. кувезів), меблів, предметів догляду за хворими; поточної і заключної дезінфекції в інфекційних вогнищах, закладах охорони здоров’я і соціального захисту; для ПСО медичних виробів, у т.ч. поєднаного і непоєднаного з ПСО в одному етапі ручним методом і з використанням ультразвуку; для попереднього промивання перед дезінфекцією медичних виробів, забруднених біологічними рідинами.</w:t>
            </w:r>
          </w:p>
          <w:p w14:paraId="773F3AF0"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p>
          <w:p w14:paraId="4FC4F888"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1. Засіб у вигляді рідкого концентрату, що містить у якості активно діючих речовин комплекс чотирьох четвертинних амонієвих сполук - не менш як 5,5% сумарно, в т.ч. алкілдиметилбензиламоній хлорид </w:t>
            </w:r>
            <w:r w:rsidRPr="00E24E3E">
              <w:rPr>
                <w:rFonts w:ascii="Times New Roman" w:eastAsia="Times New Roman" w:hAnsi="Times New Roman" w:cs="Times New Roman"/>
                <w:lang w:val="uk-UA" w:eastAsia="uk-UA"/>
              </w:rPr>
              <w:lastRenderedPageBreak/>
              <w:t>(2,200%), октилдецилдиметиламоній хлорид (1,650%), дидецилдиметиламоній хлорид (0,825%), діоктилдиметиламоній хлорид (0,825%); допоміжні компоненти (у т.ч. ПАР, метасілікат натрію, барвник, ароматизатор). У складі засобу мають бути відсутні альдегіди, надкислоти, похідні гуанідінів, аміни, спирти, активний хлор та кисень, феноли, екологічно несприятливі речовини та компоненти з алергізуючою дією (зокрема, ферменти);</w:t>
            </w:r>
          </w:p>
          <w:p w14:paraId="527F503F"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2. Значення рН концентрату засобу 12,4±0,5.</w:t>
            </w:r>
          </w:p>
          <w:p w14:paraId="79366EBA"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3. Сумісність з різними матеріалами, відсутність пошкоджуючої дії на матеріали об'єктів обробки;</w:t>
            </w:r>
          </w:p>
          <w:p w14:paraId="3842E0B7"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4. Наявність виражених мийних властивостей - мийна здатність має відповідати чинним нормативам для мийних засобів технічного призначення і становити не менше 80% (підтвердити наданням протоколу випробувань лабораторією, акредитованою за стандартом ДСТУ ISO/IEC 17025);</w:t>
            </w:r>
          </w:p>
          <w:p w14:paraId="78B38BCB"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5. Наявність дезодоруючих властивостей, ефективність для видалення біоплівок;</w:t>
            </w:r>
          </w:p>
          <w:p w14:paraId="1B06D73F"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6. Відсутність фіксуючої дії на органічні забруднення;</w:t>
            </w:r>
          </w:p>
          <w:p w14:paraId="707C3FF6"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7. Широкий спектр антимікробної активності: бактерицидна (включаючи збудників туберкульозу*, а також Campylobacter jejuni, Corynebacterium ammoniagenes, Enterobacter aerogenes, Enterobacter cloacae, Enterococcus faecalis, Enterococcus faecium (Vancomycin resistant), Escherichia coli (Antibiotic resistant),  Escherichia coli 0157:H7, Klebsiella pneumoniae, Klebsiella pneumoniae (Antibiotic resistant), Listeria monocytogenes, Proteus mirabilis, Proteus vulgaris, Pseudomonas aeruginosa, Pseudomonas aeruginosa (Antibiotic resistant) Salmonella choleraesuis,  Salmonella typhi, Serratia marcescens, Shigella dysenteriae, Shigella flexneri,  Shigella sonnei, Staphylococcus aureus, MRSA, Staphylococcus epidermidis (Аntibiotic resistant), Streptococcus pyogenes), віруліцидна (включаючи віруси гепатитів В, С, ВІЛ, герпесу, грипу, рота-, корона-, хантавірусів, вірусу «пташиного» грипу H5N1), фунгіцидна (щодо збудників кандидозів та дерматомікозів, а також пліснявих грибів Aspergillus niger в споровій формі) спороцидна дія (в т.ч. проти плісняви). *Примітка. (*Туберкулоцидна дія засобу має бути досліджена на тест-штамі Mycobacterim terrae, що відповідає ДСТУ EN 14348:2014).</w:t>
            </w:r>
          </w:p>
          <w:p w14:paraId="69AEA36C"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 Наявність в інструкції режимів швидкої дезінфекції ВМП і поверхонь при експозиції 10 хвилин і 30 хвилин, у т.ч. при бактеріальних, вірусних інфекціях (гепатити В, С і СНІД) і кандидозах одночасно;</w:t>
            </w:r>
          </w:p>
          <w:p w14:paraId="6BC0452B"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9. Можливість приготувати із 1 л концентрату не менше, як 66 л робочого розчину, який використовується при експозиції 10 хв. та не менше, як 100 л робочого розчину, який використовується при експозиції 30 хв. проти збудників бактеріальних інфекцій, вірусів гепатитів В, С і СНІД та збудників кандидозів одночасно; </w:t>
            </w:r>
          </w:p>
          <w:p w14:paraId="4A2A61C8"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10. Наявність режимів попереднього промивання перед дезінфекцією сильно забруднених біологічними речовинами медичних виробів, режимів дезінфекції кувезів і ПСО з використанням ультразвуку; </w:t>
            </w:r>
          </w:p>
          <w:p w14:paraId="56F60381"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lastRenderedPageBreak/>
              <w:t>11. Відсутність необхідності 2-разової обробки та змивання залишків засобу с поверхонь приміщень;</w:t>
            </w:r>
          </w:p>
          <w:p w14:paraId="36F16180"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12. Можливість додавання до робочих розчинів 3% соди для посилення мийної дії;</w:t>
            </w:r>
          </w:p>
          <w:p w14:paraId="65364C15"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13. Здатність полегшувати і покращувати прання після замочування в розчині текстильних виробів;</w:t>
            </w:r>
          </w:p>
          <w:p w14:paraId="6F11A0A3"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14. Можливість багаторазового використання робочих розчинів протягом терміну їх придатності;</w:t>
            </w:r>
          </w:p>
          <w:p w14:paraId="124C7358"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15. Термін придатності робочих розчинів не менше 30 діб;</w:t>
            </w:r>
          </w:p>
          <w:p w14:paraId="19F1C0A0"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16. Безпечність засобу: можливість проведення дезінфекції в присутності сторонніх осіб (в т.ч. пацієнтів) методом протирання, замочування і занурення без обмежень по концентрації робочих розчинів; відсутність необхідності застосування засобів індивідуального захисту органів дихання (респіраторів) при приготуванні та використанні робочих розчинів засобу методом протирання;</w:t>
            </w:r>
          </w:p>
          <w:p w14:paraId="6A7782CE"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17. Можливість знешкодження відпрацьованих робочих розчинив без попередньої нейтралізації або розведення водою;</w:t>
            </w:r>
          </w:p>
          <w:p w14:paraId="05E1FA06" w14:textId="77777777" w:rsidR="00E24E3E" w:rsidRPr="00E24E3E" w:rsidRDefault="00E24E3E" w:rsidP="00E24E3E">
            <w:pPr>
              <w:spacing w:after="0" w:line="240" w:lineRule="auto"/>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18. Пакування і фасування: у пляшки об’ємом 1 л з дозатором</w:t>
            </w:r>
          </w:p>
        </w:tc>
        <w:tc>
          <w:tcPr>
            <w:tcW w:w="1201" w:type="dxa"/>
            <w:tcBorders>
              <w:top w:val="nil"/>
              <w:left w:val="single" w:sz="4" w:space="0" w:color="auto"/>
              <w:bottom w:val="single" w:sz="4" w:space="0" w:color="auto"/>
              <w:right w:val="single" w:sz="4" w:space="0" w:color="auto"/>
            </w:tcBorders>
            <w:shd w:val="clear" w:color="auto" w:fill="auto"/>
          </w:tcPr>
          <w:p w14:paraId="49415BD8" w14:textId="3CB5F3DE" w:rsidR="00E24E3E" w:rsidRPr="00DE0E2C" w:rsidRDefault="00DE0E2C" w:rsidP="00E24E3E">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lastRenderedPageBreak/>
              <w:t>45</w:t>
            </w:r>
          </w:p>
        </w:tc>
      </w:tr>
      <w:tr w:rsidR="00E24E3E" w:rsidRPr="00E24E3E" w14:paraId="0F1CA4FB" w14:textId="77777777" w:rsidTr="00E24E3E">
        <w:tc>
          <w:tcPr>
            <w:tcW w:w="454" w:type="dxa"/>
            <w:shd w:val="clear" w:color="auto" w:fill="auto"/>
          </w:tcPr>
          <w:p w14:paraId="627A2FF0" w14:textId="369D52ED" w:rsidR="00E24E3E" w:rsidRPr="00E24E3E" w:rsidRDefault="00DE0E2C" w:rsidP="00E24E3E">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4</w:t>
            </w:r>
          </w:p>
        </w:tc>
        <w:tc>
          <w:tcPr>
            <w:tcW w:w="2274" w:type="dxa"/>
            <w:tcBorders>
              <w:top w:val="nil"/>
              <w:left w:val="single" w:sz="4" w:space="0" w:color="auto"/>
              <w:bottom w:val="single" w:sz="4" w:space="0" w:color="auto"/>
              <w:right w:val="single" w:sz="4" w:space="0" w:color="auto"/>
            </w:tcBorders>
            <w:shd w:val="clear" w:color="auto" w:fill="auto"/>
          </w:tcPr>
          <w:p w14:paraId="048E073F" w14:textId="77777777" w:rsidR="00E24E3E" w:rsidRPr="00E24E3E" w:rsidRDefault="00E24E3E" w:rsidP="00E24E3E">
            <w:pPr>
              <w:spacing w:before="100" w:beforeAutospacing="1" w:after="100" w:afterAutospacing="1" w:line="240" w:lineRule="auto"/>
              <w:rPr>
                <w:rFonts w:ascii="Times New Roman" w:eastAsia="Times New Roman" w:hAnsi="Times New Roman" w:cs="Times New Roman"/>
                <w:lang w:val="uk-UA"/>
              </w:rPr>
            </w:pPr>
            <w:r w:rsidRPr="00E24E3E">
              <w:rPr>
                <w:rFonts w:ascii="Times New Roman" w:eastAsia="Times New Roman" w:hAnsi="Times New Roman" w:cs="Times New Roman"/>
                <w:color w:val="000000"/>
              </w:rPr>
              <w:t>Засіб дезінфекційний "Неостерил Рапід Блу"</w:t>
            </w:r>
          </w:p>
        </w:tc>
        <w:tc>
          <w:tcPr>
            <w:tcW w:w="1344" w:type="dxa"/>
            <w:shd w:val="clear" w:color="auto" w:fill="auto"/>
          </w:tcPr>
          <w:p w14:paraId="57B8B56E" w14:textId="77777777" w:rsidR="00E24E3E" w:rsidRPr="00E24E3E" w:rsidRDefault="00E24E3E" w:rsidP="00E24E3E">
            <w:pPr>
              <w:spacing w:after="0" w:line="240" w:lineRule="auto"/>
              <w:jc w:val="center"/>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каністра 5 л</w:t>
            </w:r>
          </w:p>
        </w:tc>
        <w:tc>
          <w:tcPr>
            <w:tcW w:w="5387" w:type="dxa"/>
            <w:shd w:val="clear" w:color="auto" w:fill="auto"/>
          </w:tcPr>
          <w:p w14:paraId="641529FB"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Дезінфекційний засіб для дезінфекції шкіри рук медичного персоналу (хірургічної та гігієнічної), шкіри ін’єкційного поля, шкіри стоп і взуття з метою профілактики дерматомікозів і попередження рецидивів.</w:t>
            </w:r>
          </w:p>
          <w:p w14:paraId="1AF8670A"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p>
          <w:p w14:paraId="4695B0D7"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 Готовий до застосування засіб у вигляді рідини на основі композиції 3-х активно діючих речовин (мас.%): етанол – 67,0±1,0, 2-пропанол (ізопропіловий спирт) – 5,0±0,3, бензалконію хлорид – 0,135±0,015; сумарний вміст спиртів не менше 70,0 мас.%; допоміжні речовини для догляду за шкірою - гліцерин, ізопропилмірістат; інші допоміжні речовини - пероксид водню, регулятор рН, віддушка (ароматизатор), антисептичний компонент, який надає засобу блакитного кольору, вода підготовлена (до 100%); рН засобу 5,5-6,5.</w:t>
            </w:r>
          </w:p>
          <w:p w14:paraId="77AE0982"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2. Засіб не повинен містити пропанолу, бутандіолу, амінів, йоду, повідон йоду, хлоргексидину, похідних гуанідину і фенолу (у т.ч. феноксіетанолу, триклозану), кислот; </w:t>
            </w:r>
          </w:p>
          <w:p w14:paraId="6AAFC586"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3. Засіб не повинен сушити і подразнювати шкіру, не спричиняти побічних ефектів і алергічні реакції, шкірно-резорбтивну і сенсибілізуючу дію; має пом’якшувати і регулювати водно-жировий баланс шкіри, зменшувати потовиділення і кількість вологи під рукавичками; зменшувати потребу у використанні засобів для догляду за шкірою;</w:t>
            </w:r>
          </w:p>
          <w:p w14:paraId="743984E9"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4. Спектр антимікробної активності: бактерицидна проти грам(+) і грам(-) бактерій (в т.ч. проти збудників туберкульозу* (*Примітки. Туберкулоцидна дія засобу досліджена на тест-штамі Мycobacterium terrae, що відповідає вимогам ДСТУ EN 14348) та інших інфекцій, пов’язаних з наданням медичної допомоги (ІПНМД) (у т.ч. MRSA, лістерії (Listeria monоcytogenes), Clostridium difficile, Micrococcus luteus, Enterococcus faecalis, Enterococcus hirae, Enterobacter cloacae, Streptococcus, Klebsiella </w:t>
            </w:r>
            <w:r w:rsidRPr="00E24E3E">
              <w:rPr>
                <w:rFonts w:ascii="Times New Roman" w:eastAsia="Times New Roman" w:hAnsi="Times New Roman" w:cs="Times New Roman"/>
                <w:lang w:val="uk-UA" w:eastAsia="uk-UA"/>
              </w:rPr>
              <w:lastRenderedPageBreak/>
              <w:t>pneumonia, Klebsiella  oxytoca, Proteus mirabilis, Proteus vulgaris, Helicobacter pylori, ентерогеморагічна кишкова паличка, синьогнійна паличка (Pseudomonas aeruginosa), збудники дизентерії, сальмонельозу, паратифу, черевного тифу, холери, чуми, туляремії), фунгіцидна (зокрема, проти патогенних грибів родів Кандида, Трихофітон і пліснявих грибів Aspergillus niger у споровій формі) та віруліцидна (проти широкого спектру оболонкових і безоболонкових вірусів, включаючи найбільш стійкі до дії дезінфекційних засобів поліовіруси, а також Hepatitis А virus (HАV), Hepatitis В virus (HBV), Hepatitis С virus (HCV), Hepatitis Delta virus (HDV), Human Immunodeficiency virus (HIV), Human T-cell lymphotropic virus (HTLV), Coronavirus (у т.ч. SARS-CoV-1 та SARS-CoV-2), Herpesviridae (збудники всіх типів герпесу), Influenza virus (збудники всіх типів грипу включаючі вірус «свинячого грипу» А(Н1N1), вірус «пташиного грипу» H5N1), Paramyxoviridae, Measles virus (збудник кору), Rabies virus (збудник сказу), Rubella virus (збудник краснухи), Poxviridae (у т.ч. збудник натуральної віспи), вірусу Ебола, аденовірусної, коронавірусної, респіраторно-синтиціальної, ріновірусної інфекції тощо) дія.</w:t>
            </w:r>
          </w:p>
          <w:p w14:paraId="5DACD9AD"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5. Наявність пролонгованої антимікробної дії не менше 3 годин (під рукавичками);</w:t>
            </w:r>
          </w:p>
          <w:p w14:paraId="4B27A594"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6. Засіб має бути тестований згідно з європейськими стандартами, зокрема, EN13727:2013, EN13624:2013, EN 14348:2005, NF EN 14476: 2013+A2:2019 або відповідними стандартами України і відповідати вимогам стандарту EN 1500 і EN 12791.</w:t>
            </w:r>
          </w:p>
          <w:p w14:paraId="4B07EF8A"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7. Склад засобу і технологія мають забезпечувати відсутність в засобі спорових форм мікроорганізмів.</w:t>
            </w:r>
          </w:p>
          <w:p w14:paraId="0A7D53A2"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 Безпечність засобу:</w:t>
            </w:r>
          </w:p>
          <w:p w14:paraId="04FE20CF"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8.1. 4 класу небезпеки (мало небезпечні речовини) при інгаляційному впливі в умовах вільного випаровування, введенні у шлунок і нанесенні на шкіру;</w:t>
            </w:r>
          </w:p>
          <w:p w14:paraId="243D4618"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8.2. відсутність місцево-подразнюючих, шкірно-резорбтивних і сенсибілізуючих властивостей, канцерогенної, мутагенної, тератогенної, ембріотоксичної, гонадотропної дії, специ¬фічних віддалених ефектів. </w:t>
            </w:r>
          </w:p>
          <w:p w14:paraId="5DB6D697"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8.3. відсутність вікових обмежень для застосування (має бути вказано в інструкції).</w:t>
            </w:r>
          </w:p>
          <w:p w14:paraId="4A5350D2"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8.4. для всіх активно діючих речовин засобу мають бути затверджені встановленим чином гігієнічні (медико-санітарні) нормативи.</w:t>
            </w:r>
          </w:p>
          <w:p w14:paraId="79506CB1"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9. Сумність засобу із засобом для гігієнічного миття шкіри «Неостерил М» і засобом для догляду за шкірою рук «Неософт» при їх послідовному використанні для обробки рук;</w:t>
            </w:r>
          </w:p>
          <w:p w14:paraId="1D66AB6D"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10. Універсальність, широка сфера використання:</w:t>
            </w:r>
          </w:p>
          <w:p w14:paraId="06CB4872"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 дезінфекція рук хірургів та інших осіб, які беруть участь в оперативних втручаннях в медичних закладах при стандартному часі не більше 3 хв.;  </w:t>
            </w:r>
          </w:p>
          <w:p w14:paraId="3FA6FAB5"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гігієнічна дезінфекція рук персоналу закладів охорони здоров’я  при стандартному часі не більше 30 сек.;</w:t>
            </w:r>
          </w:p>
          <w:p w14:paraId="03ECBB90"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обробка шкіри ін’єкційного поля і шкіри стоп з метою профілактики грибкових захворювань;</w:t>
            </w:r>
          </w:p>
          <w:p w14:paraId="2BE43391"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lastRenderedPageBreak/>
              <w:t xml:space="preserve">11. Наявність режимів профілактики туберкульозу та поліомієліту при обробці рук; </w:t>
            </w:r>
          </w:p>
          <w:p w14:paraId="6C9B1A9D" w14:textId="77777777" w:rsidR="00E24E3E" w:rsidRPr="00E24E3E" w:rsidRDefault="00E24E3E" w:rsidP="00E24E3E">
            <w:pPr>
              <w:spacing w:after="0" w:line="240" w:lineRule="auto"/>
              <w:ind w:left="145"/>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12. Упакування: каністра 5 л,  </w:t>
            </w:r>
          </w:p>
        </w:tc>
        <w:tc>
          <w:tcPr>
            <w:tcW w:w="1201" w:type="dxa"/>
            <w:tcBorders>
              <w:top w:val="nil"/>
              <w:left w:val="single" w:sz="4" w:space="0" w:color="auto"/>
              <w:bottom w:val="single" w:sz="4" w:space="0" w:color="auto"/>
              <w:right w:val="single" w:sz="4" w:space="0" w:color="auto"/>
            </w:tcBorders>
            <w:shd w:val="clear" w:color="auto" w:fill="auto"/>
          </w:tcPr>
          <w:p w14:paraId="1558EA2E" w14:textId="160E57C3" w:rsidR="00E24E3E" w:rsidRPr="00DE0E2C" w:rsidRDefault="00DE0E2C" w:rsidP="00E24E3E">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color w:val="000000"/>
                <w:lang w:val="uk-UA" w:eastAsia="uk-UA"/>
              </w:rPr>
              <w:lastRenderedPageBreak/>
              <w:t>9</w:t>
            </w:r>
          </w:p>
        </w:tc>
      </w:tr>
      <w:tr w:rsidR="00E24E3E" w:rsidRPr="00E24E3E" w14:paraId="4479EBFA" w14:textId="77777777" w:rsidTr="00E24E3E">
        <w:tc>
          <w:tcPr>
            <w:tcW w:w="454" w:type="dxa"/>
            <w:shd w:val="clear" w:color="auto" w:fill="auto"/>
          </w:tcPr>
          <w:p w14:paraId="16AD2E47" w14:textId="506D30AB" w:rsidR="00E24E3E" w:rsidRPr="00E24E3E" w:rsidRDefault="00DE0E2C" w:rsidP="00E24E3E">
            <w:pPr>
              <w:spacing w:after="0" w:line="240" w:lineRule="auto"/>
              <w:rPr>
                <w:rFonts w:ascii="Times New Roman" w:eastAsia="Times New Roman" w:hAnsi="Times New Roman" w:cs="Times New Roman"/>
                <w:lang w:eastAsia="uk-UA"/>
              </w:rPr>
            </w:pPr>
            <w:r>
              <w:rPr>
                <w:rFonts w:ascii="Times New Roman" w:eastAsia="Times New Roman" w:hAnsi="Times New Roman" w:cs="Times New Roman"/>
                <w:lang w:eastAsia="uk-UA"/>
              </w:rPr>
              <w:lastRenderedPageBreak/>
              <w:t>5</w:t>
            </w:r>
            <w:bookmarkStart w:id="2" w:name="_GoBack"/>
            <w:bookmarkEnd w:id="2"/>
          </w:p>
        </w:tc>
        <w:tc>
          <w:tcPr>
            <w:tcW w:w="2274" w:type="dxa"/>
            <w:shd w:val="clear" w:color="auto" w:fill="auto"/>
          </w:tcPr>
          <w:p w14:paraId="0CD52121" w14:textId="77777777" w:rsidR="00E24E3E" w:rsidRPr="00E24E3E" w:rsidRDefault="00E24E3E" w:rsidP="00E24E3E">
            <w:pPr>
              <w:spacing w:before="100" w:beforeAutospacing="1" w:after="100" w:afterAutospacing="1" w:line="240" w:lineRule="auto"/>
              <w:rPr>
                <w:rFonts w:ascii="Times New Roman" w:eastAsia="Times New Roman" w:hAnsi="Times New Roman" w:cs="Times New Roman"/>
                <w:lang w:val="uk-UA"/>
              </w:rPr>
            </w:pPr>
            <w:r w:rsidRPr="00E24E3E">
              <w:rPr>
                <w:rFonts w:ascii="Times New Roman" w:eastAsia="Times New Roman" w:hAnsi="Times New Roman" w:cs="Times New Roman"/>
                <w:lang w:val="uk-UA"/>
              </w:rPr>
              <w:t xml:space="preserve">Серветки  "Дезеконом" </w:t>
            </w:r>
          </w:p>
        </w:tc>
        <w:tc>
          <w:tcPr>
            <w:tcW w:w="1344" w:type="dxa"/>
            <w:shd w:val="clear" w:color="auto" w:fill="auto"/>
          </w:tcPr>
          <w:p w14:paraId="67649F77" w14:textId="77777777" w:rsidR="00E24E3E" w:rsidRPr="00E24E3E" w:rsidRDefault="00E24E3E" w:rsidP="00E24E3E">
            <w:pPr>
              <w:spacing w:after="0" w:line="240" w:lineRule="auto"/>
              <w:jc w:val="center"/>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контейнер 100 шт.</w:t>
            </w:r>
          </w:p>
        </w:tc>
        <w:tc>
          <w:tcPr>
            <w:tcW w:w="5387" w:type="dxa"/>
            <w:shd w:val="clear" w:color="auto" w:fill="auto"/>
          </w:tcPr>
          <w:p w14:paraId="1A468614"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  Дезінфекційний засіб для очищення і швидкої дезінфекції низького і середнього рівня поверхонь медичних виробів (у т.ч. інвазивних), обладнання і апаратури (у т.ч. кувезів, апаратів ШВЛ і УЗД та ін.), меблів, предметів догляду за хворими; для попереднього очищення гнучких і жорстких ендоскопів і медичних інструментів до них. </w:t>
            </w:r>
          </w:p>
          <w:p w14:paraId="1E926BAF"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 Дезінфекційний засіб у вигляді готових до використання серветок з безворсового нетканого матеріалу типу спанлейс в рулоні з перфорацією, просочених дезінфекційним засобом «Дезеконом» (5% розчин).</w:t>
            </w:r>
          </w:p>
          <w:p w14:paraId="7239D7D0"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2. Склад розчину для просочування серветок: дидецилдиметиламоніум хлорид (0,45%), амінопропилдодецилпропандіамін (0,25%), полігексаметиленбігуаніду гідрохлорид (0,05%) (сумарний вміст діючих речовин – не менше 0,75%); допоміжні компоненти: неіоногенна ПАР, комплексонат, регулятор рН, ароматизатор, барвник. У складі засобу мають бути відсутні альдегіди, надкислоти, спирти, фенол і його похідні, активний хлор або кисень, кислоти, екологічно несприятливі речовини  (зокрема, фосфати) та компоненти з алергізуючою дією (зокрема, ферменти);</w:t>
            </w:r>
          </w:p>
          <w:p w14:paraId="30192C17"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3. Показник рН розчину для просочування серветок 10,5</w:t>
            </w:r>
            <w:r w:rsidRPr="00E24E3E">
              <w:rPr>
                <w:rFonts w:ascii="Times New Roman" w:eastAsia="Times New Roman" w:hAnsi="Times New Roman" w:cs="Times New Roman"/>
                <w:lang w:val="uk-UA" w:eastAsia="uk-UA"/>
              </w:rPr>
              <w:t>1,0 (при 20 оС);</w:t>
            </w:r>
          </w:p>
          <w:p w14:paraId="50BD4CFD"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4. Широкий спектр антимікробної дії: бактерицидна (включаючи збудників туберкульозу*, Campylobacter jejuni, Corynebacterium ammoniagenes, Enterobacter aerogenes, Enterobacter cloacae, Enterococcus faecalis, Enterococcus faecium, Enterococcus Hirae, Escherichia coli, Klebsiella pneumoniae, Legionella pneumonia, Listeria monocytogenes, Proteus mirabilis, Proteus vulgaris, Pseudomonas   aeruginosa,   Salmonella   choleraesuis,   Salmonella  typhi, Helicobacter pylori, Serratia marcescens, Shigella dysenteriae, Shigella flexneri, Shigella sonnei, St. aureus, MRSA, Streptococcus pyogenes), віруліцидна (включаючи віруси Коксаки, ЕСНО, поліоміеліту, ентеральних і парентеральних гепатитів, ВІЛ, герпесу, SARS, рота-, корона-, хантавіруси, віруси грипу всіх типів, зокрема, H5N1 і H1N1, аденовірусів і ін. збудників ОРВІ), фунгіцидна (щодо збудників кандидозів, дерматомікозів, а також пліснявих грибів Aspergillus niger, в т.ч. у споровій формі). *Примітка. Туберкулоцидна дія засобу має бути встановлена за результатами досліджень на тест-штамі Мycobacterium terrae. </w:t>
            </w:r>
          </w:p>
          <w:p w14:paraId="093F6F90"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 xml:space="preserve">5. Сумісність засобу з різними конструкційними матеріалами, відсутність корозійної та іншої пошкоджуючої дії на матеріали оброблюваних об'єктів, у т.ч. вироби з металів, скла, полімерних матеріалів, гуми, штучної шкіри, лакофарбове і гальванічне покриття, чутливі до спиртів матеріали і покриття; </w:t>
            </w:r>
          </w:p>
          <w:p w14:paraId="61A79F22"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6. Наявність у засобу очищуючих і дезодоруючих властивостей, відсутність фіксуючої дії на органічні забруднення;</w:t>
            </w:r>
          </w:p>
          <w:p w14:paraId="7690C18D"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7. Відсутність необхідності обов’язкового змивання залишків засобу з поверхонь після обробки;</w:t>
            </w:r>
          </w:p>
          <w:p w14:paraId="2A5E3523"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lastRenderedPageBreak/>
              <w:t>8. Наявність режимів очищення і швидкої дезінфекції при короткій експозиції 30 секунд одночасно проти збудників бактеріальних, вірусних (в т.ч. гепатити В, С, ВІЛ) інфекцій і кандидозів;</w:t>
            </w:r>
          </w:p>
          <w:p w14:paraId="7B293D61"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9. Можливість очищення і швидкої дезінфекції (при експозиції 30 секунд) поверхонь медичних меблів і обладнання, у т.ч. кювезів для новонароджених, наркозно-дихальної апаратури, обладнання для УЗД;</w:t>
            </w:r>
          </w:p>
          <w:p w14:paraId="78249EE2"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10. Безпечність засобу, можливість проведення очищення і дезінфекції в присутності пацієнтів та інших сторонніх осіб;</w:t>
            </w:r>
          </w:p>
          <w:p w14:paraId="2FF02CA1"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11. Можливість використання звільнених від серветок контейнерів з хрестоподібним отвором і затискним клапаном для збирання і тимчасового зберігання гострих медичних відходів категорії В;</w:t>
            </w:r>
          </w:p>
          <w:p w14:paraId="2BECDEF4"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12.Термін придатності серветок – не менше 3 років від дати виробництва;</w:t>
            </w:r>
          </w:p>
          <w:p w14:paraId="3931EE8A" w14:textId="77777777" w:rsidR="00E24E3E" w:rsidRPr="00E24E3E" w:rsidRDefault="00E24E3E" w:rsidP="00E24E3E">
            <w:pPr>
              <w:spacing w:after="0" w:line="240" w:lineRule="auto"/>
              <w:contextualSpacing/>
              <w:jc w:val="both"/>
              <w:rPr>
                <w:rFonts w:ascii="Times New Roman" w:eastAsia="Times New Roman" w:hAnsi="Times New Roman" w:cs="Times New Roman"/>
                <w:lang w:val="uk-UA" w:eastAsia="uk-UA"/>
              </w:rPr>
            </w:pPr>
            <w:r w:rsidRPr="00E24E3E">
              <w:rPr>
                <w:rFonts w:ascii="Times New Roman" w:eastAsia="Times New Roman" w:hAnsi="Times New Roman" w:cs="Times New Roman"/>
                <w:lang w:val="uk-UA" w:eastAsia="uk-UA"/>
              </w:rPr>
              <w:t>13. Пакування: полімерні контейнери з хрестоподібним отвором і затискним клапаном с серветками в рулоні, поділеному перфорацією на 100 серветок розміром 15 см х 20 см;</w:t>
            </w:r>
          </w:p>
        </w:tc>
        <w:tc>
          <w:tcPr>
            <w:tcW w:w="1201" w:type="dxa"/>
            <w:shd w:val="clear" w:color="auto" w:fill="auto"/>
          </w:tcPr>
          <w:p w14:paraId="4B98EAF1" w14:textId="5DB91F5A" w:rsidR="00E24E3E" w:rsidRPr="00DE0E2C" w:rsidRDefault="00DE0E2C" w:rsidP="00E24E3E">
            <w:pPr>
              <w:spacing w:after="0" w:line="240" w:lineRule="auto"/>
              <w:jc w:val="center"/>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lastRenderedPageBreak/>
              <w:t>136</w:t>
            </w:r>
          </w:p>
        </w:tc>
      </w:tr>
    </w:tbl>
    <w:p w14:paraId="6F652798" w14:textId="77777777" w:rsidR="00FC6787" w:rsidRDefault="00FC6787" w:rsidP="00FC6787">
      <w:pPr>
        <w:suppressAutoHyphens/>
        <w:spacing w:after="0"/>
        <w:jc w:val="both"/>
        <w:rPr>
          <w:rFonts w:ascii="Times New Roman" w:hAnsi="Times New Roman"/>
          <w:b/>
          <w:bCs/>
          <w:i/>
          <w:iCs/>
          <w:szCs w:val="28"/>
          <w:u w:val="single"/>
          <w:lang w:eastAsia="zh-CN"/>
        </w:rPr>
      </w:pPr>
    </w:p>
    <w:p w14:paraId="16ACDF8B" w14:textId="77777777" w:rsidR="00FC6787" w:rsidRPr="00944A5B" w:rsidRDefault="00FC6787" w:rsidP="00FC6787">
      <w:pPr>
        <w:suppressAutoHyphens/>
        <w:jc w:val="both"/>
        <w:rPr>
          <w:rFonts w:ascii="Times New Roman" w:hAnsi="Times New Roman"/>
          <w:i/>
          <w:iCs/>
          <w:szCs w:val="28"/>
          <w:lang w:eastAsia="zh-CN"/>
        </w:rPr>
      </w:pPr>
      <w:r w:rsidRPr="00944A5B">
        <w:rPr>
          <w:rFonts w:ascii="Times New Roman" w:hAnsi="Times New Roman"/>
          <w:b/>
          <w:bCs/>
          <w:i/>
          <w:iCs/>
          <w:szCs w:val="28"/>
          <w:u w:val="single"/>
          <w:lang w:eastAsia="zh-CN"/>
        </w:rPr>
        <w:t>Примітка</w:t>
      </w:r>
      <w:r w:rsidRPr="00944A5B">
        <w:rPr>
          <w:rFonts w:ascii="Times New Roman" w:hAnsi="Times New Roman"/>
          <w:b/>
          <w:bCs/>
          <w:i/>
          <w:iCs/>
          <w:szCs w:val="28"/>
          <w:lang w:eastAsia="zh-CN"/>
        </w:rPr>
        <w:t>:</w:t>
      </w:r>
      <w:r w:rsidRPr="00944A5B">
        <w:rPr>
          <w:rFonts w:ascii="Times New Roman" w:hAnsi="Times New Roman"/>
          <w:i/>
          <w:iCs/>
          <w:szCs w:val="28"/>
          <w:lang w:eastAsia="zh-CN"/>
        </w:rPr>
        <w:t xml:space="preserve"> у разі, коли в описі предмета закупівлі містяться посилання на конкретну торговельну марку чи фірму, патент, конструкцію або тип предмета закупівлі, джерело його походження або виробника, то разом з цим враховувати вираз «або еквівалент».</w:t>
      </w:r>
    </w:p>
    <w:p w14:paraId="01088B93" w14:textId="77777777" w:rsidR="00FC6787" w:rsidRPr="00944A5B" w:rsidRDefault="00FC6787" w:rsidP="00FC6787">
      <w:pPr>
        <w:suppressAutoHyphens/>
        <w:jc w:val="both"/>
        <w:rPr>
          <w:rFonts w:ascii="Times New Roman" w:hAnsi="Times New Roman"/>
          <w:i/>
          <w:iCs/>
          <w:szCs w:val="28"/>
          <w:lang w:eastAsia="zh-CN"/>
        </w:rPr>
      </w:pPr>
      <w:r w:rsidRPr="00944A5B">
        <w:rPr>
          <w:rFonts w:ascii="Times New Roman" w:hAnsi="Times New Roman"/>
          <w:i/>
          <w:iCs/>
          <w:szCs w:val="28"/>
          <w:lang w:eastAsia="zh-CN"/>
        </w:rPr>
        <w:t>Посилання на конкретну торговельну марку чи фірму, патент, конструкцію або тип предмета закупівлі, джерело його походження або виробника може застосуватися Замовником для конкретизації потрібного товару та більш чіткого та зрозумілого пояснення потрібних характеристик для можливих постачальників.</w:t>
      </w:r>
    </w:p>
    <w:p w14:paraId="3FDF4318" w14:textId="77777777" w:rsidR="00FC6787" w:rsidRPr="00392F4A" w:rsidRDefault="00FC6787" w:rsidP="00FC6787">
      <w:pPr>
        <w:jc w:val="both"/>
        <w:rPr>
          <w:rFonts w:ascii="Times New Roman" w:hAnsi="Times New Roman" w:cs="Times New Roman"/>
        </w:rPr>
      </w:pPr>
      <w:r w:rsidRPr="00944A5B">
        <w:rPr>
          <w:rFonts w:ascii="Times New Roman" w:hAnsi="Times New Roman"/>
          <w:i/>
          <w:iCs/>
          <w:szCs w:val="28"/>
          <w:lang w:eastAsia="zh-CN"/>
        </w:rPr>
        <w:t>Якщо учасниками пропонуються еквівалент товар</w:t>
      </w:r>
      <w:r>
        <w:rPr>
          <w:rFonts w:ascii="Times New Roman" w:hAnsi="Times New Roman"/>
          <w:i/>
          <w:iCs/>
          <w:szCs w:val="28"/>
          <w:lang w:eastAsia="zh-CN"/>
        </w:rPr>
        <w:t>у</w:t>
      </w:r>
      <w:r w:rsidRPr="00944A5B">
        <w:rPr>
          <w:rFonts w:ascii="Times New Roman" w:hAnsi="Times New Roman"/>
          <w:i/>
          <w:iCs/>
          <w:szCs w:val="28"/>
          <w:lang w:eastAsia="zh-CN"/>
        </w:rPr>
        <w:t>, Учасники обов’язково наводять опис пропонованого товару із зазначенням всіх параметрів товару, для можливості порівняння Замовником</w:t>
      </w:r>
      <w:r>
        <w:rPr>
          <w:rFonts w:ascii="Times New Roman" w:hAnsi="Times New Roman"/>
          <w:i/>
          <w:iCs/>
          <w:szCs w:val="28"/>
          <w:lang w:eastAsia="zh-CN"/>
        </w:rPr>
        <w:t xml:space="preserve"> та обов’язково мають підтверджуватися документально (інструкція, та/або сертифікат, та/або інший технічний документ виробника)</w:t>
      </w:r>
      <w:r w:rsidRPr="00944A5B">
        <w:rPr>
          <w:rFonts w:ascii="Times New Roman" w:hAnsi="Times New Roman"/>
          <w:i/>
          <w:iCs/>
          <w:szCs w:val="28"/>
          <w:lang w:eastAsia="zh-CN"/>
        </w:rPr>
        <w:t>. Еквіваленти мають бути не гіршими за показниками, ніж вказані Замовником</w:t>
      </w:r>
      <w:r>
        <w:rPr>
          <w:rFonts w:ascii="Times New Roman" w:hAnsi="Times New Roman"/>
          <w:i/>
          <w:iCs/>
          <w:szCs w:val="28"/>
          <w:lang w:eastAsia="zh-CN"/>
        </w:rPr>
        <w:t>.</w:t>
      </w:r>
    </w:p>
    <w:p w14:paraId="731DCE80" w14:textId="77777777" w:rsidR="00FC6787" w:rsidRDefault="00FC6787" w:rsidP="00FC6787"/>
    <w:p w14:paraId="2FB50679" w14:textId="77777777" w:rsidR="00FC6787" w:rsidRPr="00FC6787" w:rsidRDefault="00FC6787" w:rsidP="00E64ABF">
      <w:pPr>
        <w:spacing w:line="240" w:lineRule="auto"/>
        <w:jc w:val="center"/>
        <w:rPr>
          <w:rFonts w:ascii="Times New Roman" w:hAnsi="Times New Roman" w:cs="Times New Roman"/>
          <w:b/>
          <w:sz w:val="28"/>
        </w:rPr>
      </w:pPr>
    </w:p>
    <w:sectPr w:rsidR="00FC6787" w:rsidRPr="00FC6787" w:rsidSect="00E64ABF">
      <w:pgSz w:w="11906" w:h="16838"/>
      <w:pgMar w:top="680" w:right="851" w:bottom="680" w:left="1247" w:header="510"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8ADD3D" w14:textId="77777777" w:rsidR="009B43DF" w:rsidRDefault="009B43DF" w:rsidP="00E64ABF">
      <w:pPr>
        <w:spacing w:after="0" w:line="240" w:lineRule="auto"/>
      </w:pPr>
      <w:r>
        <w:separator/>
      </w:r>
    </w:p>
  </w:endnote>
  <w:endnote w:type="continuationSeparator" w:id="0">
    <w:p w14:paraId="69C047CB" w14:textId="77777777" w:rsidR="009B43DF" w:rsidRDefault="009B43DF" w:rsidP="00E64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yriad Pro">
    <w:altName w:val="Calibri"/>
    <w:panose1 w:val="00000000000000000000"/>
    <w:charset w:val="CC"/>
    <w:family w:val="swiss"/>
    <w:notTrueType/>
    <w:pitch w:val="default"/>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1429B" w14:textId="77777777" w:rsidR="009B43DF" w:rsidRDefault="009B43DF" w:rsidP="00E64ABF">
      <w:pPr>
        <w:spacing w:after="0" w:line="240" w:lineRule="auto"/>
      </w:pPr>
      <w:r>
        <w:separator/>
      </w:r>
    </w:p>
  </w:footnote>
  <w:footnote w:type="continuationSeparator" w:id="0">
    <w:p w14:paraId="36F9E35E" w14:textId="77777777" w:rsidR="009B43DF" w:rsidRDefault="009B43DF" w:rsidP="00E64A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4"/>
    <w:multiLevelType w:val="hybridMultilevel"/>
    <w:tmpl w:val="6C402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3E62DBF"/>
    <w:multiLevelType w:val="hybridMultilevel"/>
    <w:tmpl w:val="742C30EA"/>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15:restartNumberingAfterBreak="0">
    <w:nsid w:val="0A6A25AB"/>
    <w:multiLevelType w:val="hybridMultilevel"/>
    <w:tmpl w:val="455C39D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462613"/>
    <w:multiLevelType w:val="hybridMultilevel"/>
    <w:tmpl w:val="E8FCA718"/>
    <w:lvl w:ilvl="0" w:tplc="E9B4309A">
      <w:start w:val="1"/>
      <w:numFmt w:val="decimal"/>
      <w:lvlText w:val="%1."/>
      <w:lvlJc w:val="left"/>
      <w:pPr>
        <w:ind w:left="720" w:hanging="360"/>
      </w:pPr>
      <w:rPr>
        <w:rFonts w:eastAsia="Times New Roman"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E2D55BA"/>
    <w:multiLevelType w:val="hybridMultilevel"/>
    <w:tmpl w:val="5D0636A6"/>
    <w:lvl w:ilvl="0" w:tplc="29FCF4A0">
      <w:start w:val="6"/>
      <w:numFmt w:val="decimal"/>
      <w:lvlText w:val="%1."/>
      <w:lvlJc w:val="left"/>
      <w:pPr>
        <w:ind w:left="786" w:hanging="360"/>
      </w:pPr>
      <w:rPr>
        <w:rFonts w:asciiTheme="minorHAnsi" w:hAnsiTheme="minorHAnsi" w:cstheme="minorBidi"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5" w15:restartNumberingAfterBreak="0">
    <w:nsid w:val="22C924C4"/>
    <w:multiLevelType w:val="hybridMultilevel"/>
    <w:tmpl w:val="8406784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241C710E"/>
    <w:multiLevelType w:val="hybridMultilevel"/>
    <w:tmpl w:val="B8F2B9DE"/>
    <w:lvl w:ilvl="0" w:tplc="0DC21BD8">
      <w:start w:val="1"/>
      <w:numFmt w:val="decimal"/>
      <w:lvlText w:val="%1."/>
      <w:lvlJc w:val="left"/>
      <w:pPr>
        <w:ind w:left="927" w:hanging="360"/>
      </w:pPr>
      <w:rPr>
        <w:rFonts w:hint="default"/>
        <w:b/>
        <w:sz w:val="22"/>
        <w:szCs w:val="24"/>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7" w15:restartNumberingAfterBreak="0">
    <w:nsid w:val="376A1143"/>
    <w:multiLevelType w:val="hybridMultilevel"/>
    <w:tmpl w:val="25AA710E"/>
    <w:lvl w:ilvl="0" w:tplc="5F2A28BC">
      <w:start w:val="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AE22DBB"/>
    <w:multiLevelType w:val="hybridMultilevel"/>
    <w:tmpl w:val="13CCC3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7A54B8A"/>
    <w:multiLevelType w:val="multilevel"/>
    <w:tmpl w:val="6B262AD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DB72D09"/>
    <w:multiLevelType w:val="hybridMultilevel"/>
    <w:tmpl w:val="F89C20A4"/>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52554703"/>
    <w:multiLevelType w:val="hybridMultilevel"/>
    <w:tmpl w:val="1A8E343E"/>
    <w:lvl w:ilvl="0" w:tplc="7E6A124C">
      <w:start w:val="1"/>
      <w:numFmt w:val="decimal"/>
      <w:lvlText w:val="%1."/>
      <w:lvlJc w:val="left"/>
      <w:pPr>
        <w:ind w:left="720" w:hanging="360"/>
      </w:pPr>
      <w:rPr>
        <w:rFonts w:hint="default"/>
      </w:rPr>
    </w:lvl>
    <w:lvl w:ilvl="1" w:tplc="62329CAE">
      <w:start w:val="1"/>
      <w:numFmt w:val="lowerLetter"/>
      <w:lvlText w:val="%2."/>
      <w:lvlJc w:val="left"/>
      <w:pPr>
        <w:ind w:left="1440" w:hanging="360"/>
      </w:pPr>
    </w:lvl>
    <w:lvl w:ilvl="2" w:tplc="3F3674A4">
      <w:start w:val="1"/>
      <w:numFmt w:val="lowerRoman"/>
      <w:lvlText w:val="%3."/>
      <w:lvlJc w:val="right"/>
      <w:pPr>
        <w:ind w:left="2160" w:hanging="180"/>
      </w:pPr>
    </w:lvl>
    <w:lvl w:ilvl="3" w:tplc="4F1EBDBC">
      <w:start w:val="1"/>
      <w:numFmt w:val="decimal"/>
      <w:lvlText w:val="%4."/>
      <w:lvlJc w:val="left"/>
      <w:pPr>
        <w:ind w:left="2880" w:hanging="360"/>
      </w:pPr>
    </w:lvl>
    <w:lvl w:ilvl="4" w:tplc="671E57C4">
      <w:start w:val="1"/>
      <w:numFmt w:val="lowerLetter"/>
      <w:lvlText w:val="%5."/>
      <w:lvlJc w:val="left"/>
      <w:pPr>
        <w:ind w:left="3600" w:hanging="360"/>
      </w:pPr>
    </w:lvl>
    <w:lvl w:ilvl="5" w:tplc="80BAC776">
      <w:start w:val="1"/>
      <w:numFmt w:val="lowerRoman"/>
      <w:lvlText w:val="%6."/>
      <w:lvlJc w:val="right"/>
      <w:pPr>
        <w:ind w:left="4320" w:hanging="180"/>
      </w:pPr>
    </w:lvl>
    <w:lvl w:ilvl="6" w:tplc="B4107C6E">
      <w:start w:val="1"/>
      <w:numFmt w:val="decimal"/>
      <w:lvlText w:val="%7."/>
      <w:lvlJc w:val="left"/>
      <w:pPr>
        <w:ind w:left="5040" w:hanging="360"/>
      </w:pPr>
    </w:lvl>
    <w:lvl w:ilvl="7" w:tplc="0F3A76D6">
      <w:start w:val="1"/>
      <w:numFmt w:val="lowerLetter"/>
      <w:lvlText w:val="%8."/>
      <w:lvlJc w:val="left"/>
      <w:pPr>
        <w:ind w:left="5760" w:hanging="360"/>
      </w:pPr>
    </w:lvl>
    <w:lvl w:ilvl="8" w:tplc="5DAAC038">
      <w:start w:val="1"/>
      <w:numFmt w:val="lowerRoman"/>
      <w:lvlText w:val="%9."/>
      <w:lvlJc w:val="right"/>
      <w:pPr>
        <w:ind w:left="6480" w:hanging="180"/>
      </w:pPr>
    </w:lvl>
  </w:abstractNum>
  <w:abstractNum w:abstractNumId="12" w15:restartNumberingAfterBreak="0">
    <w:nsid w:val="67725528"/>
    <w:multiLevelType w:val="hybridMultilevel"/>
    <w:tmpl w:val="34AC03D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698017FA"/>
    <w:multiLevelType w:val="hybridMultilevel"/>
    <w:tmpl w:val="0438417C"/>
    <w:lvl w:ilvl="0" w:tplc="52F2754A">
      <w:start w:val="30"/>
      <w:numFmt w:val="bullet"/>
      <w:lvlText w:val="•"/>
      <w:lvlJc w:val="left"/>
      <w:pPr>
        <w:ind w:left="1070" w:hanging="71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9"/>
  </w:num>
  <w:num w:numId="5">
    <w:abstractNumId w:val="10"/>
  </w:num>
  <w:num w:numId="6">
    <w:abstractNumId w:val="3"/>
  </w:num>
  <w:num w:numId="7">
    <w:abstractNumId w:val="4"/>
  </w:num>
  <w:num w:numId="8">
    <w:abstractNumId w:val="2"/>
  </w:num>
  <w:num w:numId="9">
    <w:abstractNumId w:val="1"/>
  </w:num>
  <w:num w:numId="10">
    <w:abstractNumId w:val="12"/>
  </w:num>
  <w:num w:numId="11">
    <w:abstractNumId w:val="5"/>
  </w:num>
  <w:num w:numId="12">
    <w:abstractNumId w:val="11"/>
  </w:num>
  <w:num w:numId="13">
    <w:abstractNumId w:val="13"/>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6876"/>
    <w:rsid w:val="000A1A3E"/>
    <w:rsid w:val="000C06FB"/>
    <w:rsid w:val="000E6B29"/>
    <w:rsid w:val="00104FCA"/>
    <w:rsid w:val="001243A0"/>
    <w:rsid w:val="001B1256"/>
    <w:rsid w:val="001C5F64"/>
    <w:rsid w:val="001F32A7"/>
    <w:rsid w:val="002306BF"/>
    <w:rsid w:val="00290A5A"/>
    <w:rsid w:val="00313F3E"/>
    <w:rsid w:val="0033390E"/>
    <w:rsid w:val="003A30A8"/>
    <w:rsid w:val="004A42AD"/>
    <w:rsid w:val="004C3B2C"/>
    <w:rsid w:val="005B60DC"/>
    <w:rsid w:val="006C48D5"/>
    <w:rsid w:val="006F1E44"/>
    <w:rsid w:val="00704330"/>
    <w:rsid w:val="00716592"/>
    <w:rsid w:val="00747E62"/>
    <w:rsid w:val="00761238"/>
    <w:rsid w:val="00784B76"/>
    <w:rsid w:val="00855870"/>
    <w:rsid w:val="009B43DF"/>
    <w:rsid w:val="009C5BB3"/>
    <w:rsid w:val="00B17852"/>
    <w:rsid w:val="00DD2200"/>
    <w:rsid w:val="00DE0E2C"/>
    <w:rsid w:val="00E24E3E"/>
    <w:rsid w:val="00E64ABF"/>
    <w:rsid w:val="00EB64E4"/>
    <w:rsid w:val="00ED18F1"/>
    <w:rsid w:val="00F20856"/>
    <w:rsid w:val="00F475D4"/>
    <w:rsid w:val="00F76876"/>
    <w:rsid w:val="00FA5338"/>
    <w:rsid w:val="00FA7039"/>
    <w:rsid w:val="00FC67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E8F8E7"/>
  <w15:docId w15:val="{71CB19B0-D4E0-4E97-9A26-CCACAE7B2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330"/>
  </w:style>
  <w:style w:type="paragraph" w:styleId="1">
    <w:name w:val="heading 1"/>
    <w:basedOn w:val="a"/>
    <w:next w:val="a"/>
    <w:link w:val="10"/>
    <w:uiPriority w:val="9"/>
    <w:qFormat/>
    <w:rsid w:val="006C48D5"/>
    <w:pPr>
      <w:keepNext/>
      <w:widowControl w:val="0"/>
      <w:suppressAutoHyphens/>
      <w:autoSpaceDE w:val="0"/>
      <w:spacing w:before="240" w:after="60" w:line="240" w:lineRule="auto"/>
      <w:jc w:val="center"/>
      <w:outlineLvl w:val="0"/>
    </w:pPr>
    <w:rPr>
      <w:rFonts w:ascii="Cambria" w:eastAsia="Times New Roman" w:hAnsi="Cambria" w:cs="Times New Roman"/>
      <w:b/>
      <w:bCs/>
      <w:kern w:val="32"/>
      <w:sz w:val="32"/>
      <w:szCs w:val="32"/>
      <w:lang w:val="uk-UA" w:eastAsia="en-US" w:bidi="en-US"/>
    </w:rPr>
  </w:style>
  <w:style w:type="paragraph" w:styleId="2">
    <w:name w:val="heading 2"/>
    <w:basedOn w:val="a"/>
    <w:next w:val="a"/>
    <w:link w:val="20"/>
    <w:uiPriority w:val="9"/>
    <w:semiHidden/>
    <w:unhideWhenUsed/>
    <w:qFormat/>
    <w:rsid w:val="00FC678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76876"/>
    <w:rPr>
      <w:rFonts w:cs="Times New Roman"/>
      <w:color w:val="0000FF"/>
      <w:u w:val="single"/>
    </w:rPr>
  </w:style>
  <w:style w:type="character" w:customStyle="1" w:styleId="10">
    <w:name w:val="Заголовок 1 Знак"/>
    <w:basedOn w:val="a0"/>
    <w:link w:val="1"/>
    <w:uiPriority w:val="9"/>
    <w:rsid w:val="006C48D5"/>
    <w:rPr>
      <w:rFonts w:ascii="Cambria" w:eastAsia="Times New Roman" w:hAnsi="Cambria" w:cs="Times New Roman"/>
      <w:b/>
      <w:bCs/>
      <w:kern w:val="32"/>
      <w:sz w:val="32"/>
      <w:szCs w:val="32"/>
      <w:lang w:val="uk-UA" w:eastAsia="en-US" w:bidi="en-US"/>
    </w:rPr>
  </w:style>
  <w:style w:type="table" w:styleId="a4">
    <w:name w:val="Table Grid"/>
    <w:basedOn w:val="a1"/>
    <w:uiPriority w:val="39"/>
    <w:qFormat/>
    <w:rsid w:val="002306BF"/>
    <w:pPr>
      <w:spacing w:after="0" w:line="240" w:lineRule="auto"/>
    </w:pPr>
    <w:rPr>
      <w:rFonts w:ascii="Calibri" w:eastAsia="Calibri" w:hAnsi="Calibri" w:cs="Calibri"/>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aliases w:val="Number Bullets,Список уровня 2,название табл/рис,заголовок 1.1,1 Буллет,AC List 01,List Paragraph (numbered (a)),List_Paragraph,Multilevel para_II,List Paragraph-ExecSummary,Akapit z listą BS,Bullets,List Paragraph 1,References,Bullet 1"/>
    <w:basedOn w:val="a"/>
    <w:link w:val="a6"/>
    <w:uiPriority w:val="34"/>
    <w:qFormat/>
    <w:rsid w:val="002306BF"/>
    <w:pPr>
      <w:spacing w:after="160" w:line="259" w:lineRule="auto"/>
      <w:ind w:left="720"/>
      <w:contextualSpacing/>
    </w:pPr>
    <w:rPr>
      <w:rFonts w:ascii="Calibri" w:eastAsia="Calibri" w:hAnsi="Calibri" w:cs="Calibri"/>
      <w:lang w:val="uk-UA" w:eastAsia="uk-UA"/>
    </w:rPr>
  </w:style>
  <w:style w:type="character" w:customStyle="1" w:styleId="a6">
    <w:name w:val="Абзац списка Знак"/>
    <w:aliases w:val="Number Bullets Знак,Список уровня 2 Знак,название табл/рис Знак,заголовок 1.1 Знак,1 Буллет Знак,AC List 01 Знак,List Paragraph (numbered (a)) Знак,List_Paragraph Знак,Multilevel para_II Знак,List Paragraph-ExecSummary Знак"/>
    <w:link w:val="a5"/>
    <w:uiPriority w:val="34"/>
    <w:qFormat/>
    <w:rsid w:val="002306BF"/>
    <w:rPr>
      <w:rFonts w:ascii="Calibri" w:eastAsia="Calibri" w:hAnsi="Calibri" w:cs="Calibri"/>
      <w:lang w:val="uk-UA" w:eastAsia="uk-UA"/>
    </w:rPr>
  </w:style>
  <w:style w:type="paragraph" w:customStyle="1" w:styleId="11">
    <w:name w:val="Цитата1"/>
    <w:basedOn w:val="a"/>
    <w:uiPriority w:val="99"/>
    <w:rsid w:val="004A42AD"/>
    <w:pPr>
      <w:suppressAutoHyphens/>
      <w:spacing w:after="0" w:line="240" w:lineRule="auto"/>
      <w:ind w:left="284" w:right="-58" w:firstLine="436"/>
      <w:jc w:val="both"/>
    </w:pPr>
    <w:rPr>
      <w:rFonts w:ascii="Times New Roman" w:eastAsia="Times New Roman" w:hAnsi="Times New Roman" w:cs="Times New Roman"/>
      <w:sz w:val="24"/>
      <w:szCs w:val="20"/>
      <w:lang w:eastAsia="ar-SA"/>
    </w:rPr>
  </w:style>
  <w:style w:type="paragraph" w:customStyle="1" w:styleId="Standard">
    <w:name w:val="Standard"/>
    <w:uiPriority w:val="99"/>
    <w:qFormat/>
    <w:rsid w:val="004A42AD"/>
    <w:pPr>
      <w:widowControl w:val="0"/>
      <w:suppressAutoHyphens/>
      <w:spacing w:after="0" w:line="240" w:lineRule="auto"/>
      <w:textAlignment w:val="baseline"/>
    </w:pPr>
    <w:rPr>
      <w:rFonts w:ascii="Times New Roman" w:eastAsia="Lucida Sans Unicode" w:hAnsi="Times New Roman" w:cs="Mangal"/>
      <w:kern w:val="2"/>
      <w:sz w:val="24"/>
      <w:szCs w:val="24"/>
      <w:lang w:val="uk-UA" w:eastAsia="zh-CN" w:bidi="hi-IN"/>
    </w:rPr>
  </w:style>
  <w:style w:type="paragraph" w:customStyle="1" w:styleId="12">
    <w:name w:val="Обычный1"/>
    <w:qFormat/>
    <w:rsid w:val="004A42AD"/>
    <w:pPr>
      <w:widowControl w:val="0"/>
      <w:suppressAutoHyphens/>
      <w:spacing w:after="0" w:line="240" w:lineRule="auto"/>
    </w:pPr>
    <w:rPr>
      <w:rFonts w:ascii="Times New Roman" w:eastAsia="Times New Roman" w:hAnsi="Times New Roman" w:cs="Times New Roman"/>
      <w:sz w:val="20"/>
      <w:szCs w:val="20"/>
      <w:lang w:val="uk-UA" w:eastAsia="uk-UA"/>
    </w:rPr>
  </w:style>
  <w:style w:type="paragraph" w:styleId="a7">
    <w:name w:val="Title"/>
    <w:basedOn w:val="a"/>
    <w:next w:val="a"/>
    <w:link w:val="a8"/>
    <w:uiPriority w:val="99"/>
    <w:qFormat/>
    <w:rsid w:val="00E64ABF"/>
    <w:pPr>
      <w:spacing w:after="0" w:line="240" w:lineRule="auto"/>
      <w:contextualSpacing/>
    </w:pPr>
    <w:rPr>
      <w:rFonts w:ascii="Calibri Light" w:eastAsia="Times New Roman" w:hAnsi="Calibri Light" w:cs="Times New Roman"/>
      <w:spacing w:val="-10"/>
      <w:kern w:val="28"/>
      <w:sz w:val="56"/>
      <w:szCs w:val="56"/>
      <w:lang w:val="uk-UA" w:eastAsia="en-US"/>
    </w:rPr>
  </w:style>
  <w:style w:type="character" w:customStyle="1" w:styleId="a8">
    <w:name w:val="Заголовок Знак"/>
    <w:basedOn w:val="a0"/>
    <w:link w:val="a7"/>
    <w:uiPriority w:val="99"/>
    <w:rsid w:val="00E64ABF"/>
    <w:rPr>
      <w:rFonts w:ascii="Calibri Light" w:eastAsia="Times New Roman" w:hAnsi="Calibri Light" w:cs="Times New Roman"/>
      <w:spacing w:val="-10"/>
      <w:kern w:val="28"/>
      <w:sz w:val="56"/>
      <w:szCs w:val="56"/>
      <w:lang w:val="uk-UA" w:eastAsia="en-US"/>
    </w:rPr>
  </w:style>
  <w:style w:type="character" w:customStyle="1" w:styleId="a9">
    <w:name w:val="Без интервала Знак"/>
    <w:link w:val="aa"/>
    <w:uiPriority w:val="99"/>
    <w:locked/>
    <w:rsid w:val="00E64ABF"/>
    <w:rPr>
      <w:rFonts w:ascii="Times New Roman" w:eastAsia="SimSun" w:hAnsi="Times New Roman" w:cs="Times New Roman"/>
      <w:kern w:val="2"/>
      <w:sz w:val="20"/>
      <w:szCs w:val="20"/>
      <w:lang w:eastAsia="ar-SA"/>
    </w:rPr>
  </w:style>
  <w:style w:type="paragraph" w:styleId="aa">
    <w:name w:val="No Spacing"/>
    <w:link w:val="a9"/>
    <w:uiPriority w:val="99"/>
    <w:qFormat/>
    <w:rsid w:val="00E64ABF"/>
    <w:pPr>
      <w:suppressAutoHyphens/>
      <w:spacing w:after="0" w:line="240" w:lineRule="auto"/>
    </w:pPr>
    <w:rPr>
      <w:rFonts w:ascii="Times New Roman" w:eastAsia="SimSun" w:hAnsi="Times New Roman" w:cs="Times New Roman"/>
      <w:kern w:val="2"/>
      <w:sz w:val="20"/>
      <w:szCs w:val="20"/>
      <w:lang w:eastAsia="ar-SA"/>
    </w:rPr>
  </w:style>
  <w:style w:type="paragraph" w:styleId="ab">
    <w:name w:val="header"/>
    <w:basedOn w:val="a"/>
    <w:link w:val="ac"/>
    <w:uiPriority w:val="99"/>
    <w:unhideWhenUsed/>
    <w:rsid w:val="00E64AB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E64ABF"/>
  </w:style>
  <w:style w:type="paragraph" w:styleId="ad">
    <w:name w:val="footer"/>
    <w:basedOn w:val="a"/>
    <w:link w:val="ae"/>
    <w:uiPriority w:val="99"/>
    <w:unhideWhenUsed/>
    <w:rsid w:val="00E64AB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E64ABF"/>
  </w:style>
  <w:style w:type="character" w:customStyle="1" w:styleId="20">
    <w:name w:val="Заголовок 2 Знак"/>
    <w:basedOn w:val="a0"/>
    <w:link w:val="2"/>
    <w:uiPriority w:val="9"/>
    <w:semiHidden/>
    <w:rsid w:val="00FC6787"/>
    <w:rPr>
      <w:rFonts w:asciiTheme="majorHAnsi" w:eastAsiaTheme="majorEastAsia" w:hAnsiTheme="majorHAnsi" w:cstheme="majorBidi"/>
      <w:color w:val="365F91" w:themeColor="accent1" w:themeShade="BF"/>
      <w:sz w:val="26"/>
      <w:szCs w:val="26"/>
    </w:rPr>
  </w:style>
  <w:style w:type="paragraph" w:customStyle="1" w:styleId="Default">
    <w:name w:val="Default"/>
    <w:rsid w:val="00FC6787"/>
    <w:pPr>
      <w:autoSpaceDE w:val="0"/>
      <w:autoSpaceDN w:val="0"/>
      <w:adjustRightInd w:val="0"/>
      <w:spacing w:after="0" w:line="240" w:lineRule="auto"/>
    </w:pPr>
    <w:rPr>
      <w:rFonts w:ascii="Myriad Pro" w:eastAsiaTheme="minorHAnsi" w:hAnsi="Myriad Pro" w:cs="Myriad Pro"/>
      <w:color w:val="000000"/>
      <w:sz w:val="24"/>
      <w:szCs w:val="24"/>
      <w:lang w:val="uk-UA" w:eastAsia="en-US"/>
    </w:rPr>
  </w:style>
  <w:style w:type="table" w:customStyle="1" w:styleId="13">
    <w:name w:val="Сетка таблицы1"/>
    <w:basedOn w:val="a1"/>
    <w:next w:val="a4"/>
    <w:uiPriority w:val="59"/>
    <w:rsid w:val="00FC6787"/>
    <w:pPr>
      <w:spacing w:after="0" w:line="240" w:lineRule="auto"/>
    </w:pPr>
    <w:rPr>
      <w:rFonts w:ascii="Arial Narrow" w:eastAsia="Calibri" w:hAnsi="Arial Narrow" w:cs="Times New Roman"/>
      <w:sz w:val="24"/>
      <w:szCs w:val="24"/>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a"/>
    <w:rsid w:val="00FC6787"/>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numbering" w:customStyle="1" w:styleId="14">
    <w:name w:val="Нет списка1"/>
    <w:next w:val="a2"/>
    <w:uiPriority w:val="99"/>
    <w:semiHidden/>
    <w:unhideWhenUsed/>
    <w:rsid w:val="00FC6787"/>
  </w:style>
  <w:style w:type="table" w:customStyle="1" w:styleId="21">
    <w:name w:val="Сетка таблицы2"/>
    <w:basedOn w:val="a1"/>
    <w:next w:val="a4"/>
    <w:uiPriority w:val="39"/>
    <w:rsid w:val="00FC6787"/>
    <w:pPr>
      <w:spacing w:after="0" w:line="240" w:lineRule="auto"/>
    </w:pPr>
    <w:rPr>
      <w:rFonts w:eastAsiaTheme="minorHAnsi"/>
      <w:lang w:val="uk-UA"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4"/>
    <w:uiPriority w:val="59"/>
    <w:rsid w:val="00FC6787"/>
    <w:pPr>
      <w:spacing w:after="0" w:line="240" w:lineRule="auto"/>
    </w:pPr>
    <w:rPr>
      <w:rFonts w:ascii="Arial Narrow" w:eastAsia="Calibri" w:hAnsi="Arial Narrow" w:cs="Times New Roman"/>
      <w:sz w:val="24"/>
      <w:szCs w:val="24"/>
      <w:lang w:val="uk-UA"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7200767">
      <w:bodyDiv w:val="1"/>
      <w:marLeft w:val="0"/>
      <w:marRight w:val="0"/>
      <w:marTop w:val="0"/>
      <w:marBottom w:val="0"/>
      <w:divBdr>
        <w:top w:val="none" w:sz="0" w:space="0" w:color="auto"/>
        <w:left w:val="none" w:sz="0" w:space="0" w:color="auto"/>
        <w:bottom w:val="none" w:sz="0" w:space="0" w:color="auto"/>
        <w:right w:val="none" w:sz="0" w:space="0" w:color="auto"/>
      </w:divBdr>
    </w:div>
    <w:div w:id="1457022242">
      <w:bodyDiv w:val="1"/>
      <w:marLeft w:val="0"/>
      <w:marRight w:val="0"/>
      <w:marTop w:val="0"/>
      <w:marBottom w:val="0"/>
      <w:divBdr>
        <w:top w:val="none" w:sz="0" w:space="0" w:color="auto"/>
        <w:left w:val="none" w:sz="0" w:space="0" w:color="auto"/>
        <w:bottom w:val="none" w:sz="0" w:space="0" w:color="auto"/>
        <w:right w:val="none" w:sz="0" w:space="0" w:color="auto"/>
      </w:divBdr>
    </w:div>
    <w:div w:id="1709573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4109</Words>
  <Characters>23424</Characters>
  <Application>Microsoft Office Word</Application>
  <DocSecurity>0</DocSecurity>
  <Lines>195</Lines>
  <Paragraphs>54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Reanimator Extreme Edition</Company>
  <LinksUpToDate>false</LinksUpToDate>
  <CharactersWithSpaces>27479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admin</cp:lastModifiedBy>
  <cp:revision>3</cp:revision>
  <cp:lastPrinted>2024-11-15T10:40:00Z</cp:lastPrinted>
  <dcterms:created xsi:type="dcterms:W3CDTF">2026-06-11T08:32:00Z</dcterms:created>
  <dcterms:modified xsi:type="dcterms:W3CDTF">2026-06-11T08:37:00Z</dcterms:modified>
</cp:coreProperties>
</file>